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C4943" w14:textId="77777777" w:rsidR="00EC14A3" w:rsidRPr="0000138D" w:rsidRDefault="00EC14A3" w:rsidP="00B03922">
      <w:pPr>
        <w:pStyle w:val="berschrift1"/>
        <w:jc w:val="both"/>
        <w:rPr>
          <w:b/>
        </w:rPr>
      </w:pPr>
      <w:proofErr w:type="spellStart"/>
      <w:r w:rsidRPr="0000138D">
        <w:rPr>
          <w:b/>
        </w:rPr>
        <w:t>AquaticPollutants</w:t>
      </w:r>
      <w:proofErr w:type="spellEnd"/>
      <w:r w:rsidRPr="0000138D">
        <w:rPr>
          <w:b/>
        </w:rPr>
        <w:t xml:space="preserve"> Call Pre-Announcement</w:t>
      </w:r>
    </w:p>
    <w:p w14:paraId="6EB843B4" w14:textId="19787546" w:rsidR="00EC14A3" w:rsidRPr="00EC14A3" w:rsidRDefault="00EC14A3" w:rsidP="00B03922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EC14A3">
        <w:rPr>
          <w:rFonts w:ascii="Arial" w:hAnsi="Arial" w:cs="Arial"/>
          <w:b/>
          <w:bCs/>
          <w:sz w:val="20"/>
          <w:szCs w:val="20"/>
        </w:rPr>
        <w:t>The three Joint Programming Initiatives (JPIs) on Water, Oceans and Antimicrobial Resistance (AMR) are pleased to pre-announce a joint transnational call for research and innovation projects on risks posed to human health and the environment by pollutants and pathogens p</w:t>
      </w:r>
      <w:r w:rsidR="00336913">
        <w:rPr>
          <w:rFonts w:ascii="Arial" w:hAnsi="Arial" w:cs="Arial"/>
          <w:b/>
          <w:bCs/>
          <w:sz w:val="20"/>
          <w:szCs w:val="20"/>
        </w:rPr>
        <w:t>resent in the water resources.</w:t>
      </w:r>
    </w:p>
    <w:p w14:paraId="598AACBE" w14:textId="2C8D9313" w:rsidR="00B03922" w:rsidRDefault="00EC14A3" w:rsidP="00B03922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call will support research and innovation projects that establish integrated and cross-sectoral approaches for risk-management combining the research areas of </w:t>
      </w:r>
      <w:r w:rsidR="00B03922">
        <w:rPr>
          <w:rFonts w:ascii="Arial" w:hAnsi="Arial" w:cs="Arial"/>
          <w:sz w:val="20"/>
          <w:szCs w:val="20"/>
        </w:rPr>
        <w:t xml:space="preserve">contaminants </w:t>
      </w:r>
      <w:r>
        <w:rPr>
          <w:rFonts w:ascii="Arial" w:hAnsi="Arial" w:cs="Arial"/>
          <w:sz w:val="20"/>
          <w:szCs w:val="20"/>
        </w:rPr>
        <w:t xml:space="preserve">of emerging concerns (CECs), pathogens and antimicrobial resistance. The whole water cycle, from the source through the river basins and eventually to the estuaries and oceans, has to be considered. </w:t>
      </w:r>
      <w:r w:rsidR="00B03922">
        <w:rPr>
          <w:rFonts w:ascii="Arial" w:hAnsi="Arial" w:cs="Arial"/>
          <w:sz w:val="20"/>
          <w:szCs w:val="20"/>
        </w:rPr>
        <w:t>The projected</w:t>
      </w:r>
      <w:r w:rsidR="00336913">
        <w:rPr>
          <w:rFonts w:ascii="Arial" w:hAnsi="Arial" w:cs="Arial"/>
          <w:sz w:val="20"/>
          <w:szCs w:val="20"/>
        </w:rPr>
        <w:t xml:space="preserve"> call budget is approximately 25</w:t>
      </w:r>
      <w:r w:rsidR="00B03922">
        <w:rPr>
          <w:rFonts w:ascii="Arial" w:hAnsi="Arial" w:cs="Arial"/>
          <w:sz w:val="20"/>
          <w:szCs w:val="20"/>
        </w:rPr>
        <w:t xml:space="preserve"> million </w:t>
      </w:r>
      <w:proofErr w:type="gramStart"/>
      <w:r w:rsidR="00B03922">
        <w:rPr>
          <w:rFonts w:ascii="Arial" w:hAnsi="Arial" w:cs="Arial"/>
          <w:sz w:val="20"/>
          <w:szCs w:val="20"/>
        </w:rPr>
        <w:t>Euro</w:t>
      </w:r>
      <w:proofErr w:type="gramEnd"/>
      <w:r w:rsidR="00336913">
        <w:rPr>
          <w:rFonts w:ascii="Arial" w:hAnsi="Arial" w:cs="Arial"/>
          <w:sz w:val="20"/>
          <w:szCs w:val="20"/>
        </w:rPr>
        <w:t xml:space="preserve"> (co-funded by European Commission)</w:t>
      </w:r>
      <w:r w:rsidR="00B03922">
        <w:rPr>
          <w:rFonts w:ascii="Arial" w:hAnsi="Arial" w:cs="Arial"/>
          <w:sz w:val="20"/>
          <w:szCs w:val="20"/>
        </w:rPr>
        <w:t>.</w:t>
      </w:r>
    </w:p>
    <w:p w14:paraId="65F639C3" w14:textId="7C835F24" w:rsidR="00B03922" w:rsidRPr="00B03922" w:rsidRDefault="00B03922" w:rsidP="00B03922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B03922">
        <w:rPr>
          <w:rFonts w:ascii="Arial" w:hAnsi="Arial" w:cs="Arial"/>
          <w:sz w:val="20"/>
          <w:szCs w:val="20"/>
        </w:rPr>
        <w:t xml:space="preserve">There are still major risks associated with the occurrence of emerging </w:t>
      </w:r>
      <w:r>
        <w:rPr>
          <w:rFonts w:ascii="Arial" w:hAnsi="Arial" w:cs="Arial"/>
          <w:sz w:val="20"/>
          <w:szCs w:val="20"/>
        </w:rPr>
        <w:t>contaminants</w:t>
      </w:r>
      <w:r w:rsidRPr="00B03922">
        <w:rPr>
          <w:rFonts w:ascii="Arial" w:hAnsi="Arial" w:cs="Arial"/>
          <w:sz w:val="20"/>
          <w:szCs w:val="20"/>
        </w:rPr>
        <w:t xml:space="preserve">, pathogens and antimicrobial resistant bacteria in our water bodies and oceans. To face these challenges in a comprehensive way and to develop multidisciplinary and practical solutions for the provision of safe drinking water and healthy aquatic environments, this Joint Transnational Call (JTC) </w:t>
      </w:r>
      <w:r>
        <w:rPr>
          <w:rFonts w:ascii="Arial" w:hAnsi="Arial" w:cs="Arial"/>
          <w:sz w:val="20"/>
          <w:szCs w:val="20"/>
        </w:rPr>
        <w:t xml:space="preserve">aims </w:t>
      </w:r>
      <w:r w:rsidR="00A93210">
        <w:rPr>
          <w:rFonts w:ascii="Arial" w:hAnsi="Arial" w:cs="Arial"/>
          <w:sz w:val="20"/>
          <w:szCs w:val="20"/>
        </w:rPr>
        <w:t xml:space="preserve">to </w:t>
      </w:r>
      <w:r w:rsidRPr="00B03922">
        <w:rPr>
          <w:rFonts w:ascii="Arial" w:hAnsi="Arial" w:cs="Arial"/>
          <w:sz w:val="20"/>
          <w:szCs w:val="20"/>
        </w:rPr>
        <w:t>make the research communities</w:t>
      </w:r>
      <w:r w:rsidR="00A93210">
        <w:rPr>
          <w:rFonts w:ascii="Arial" w:hAnsi="Arial" w:cs="Arial"/>
          <w:sz w:val="20"/>
          <w:szCs w:val="20"/>
        </w:rPr>
        <w:t xml:space="preserve"> in</w:t>
      </w:r>
      <w:r w:rsidRPr="00B039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Pr="00B03922">
        <w:rPr>
          <w:rFonts w:ascii="Arial" w:hAnsi="Arial" w:cs="Arial"/>
          <w:sz w:val="20"/>
          <w:szCs w:val="20"/>
        </w:rPr>
        <w:t>freshwater, marine and the health sector</w:t>
      </w:r>
      <w:r>
        <w:rPr>
          <w:rFonts w:ascii="Arial" w:hAnsi="Arial" w:cs="Arial"/>
          <w:sz w:val="20"/>
          <w:szCs w:val="20"/>
        </w:rPr>
        <w:t>s</w:t>
      </w:r>
      <w:r w:rsidRPr="00B03922">
        <w:rPr>
          <w:rFonts w:ascii="Arial" w:hAnsi="Arial" w:cs="Arial"/>
          <w:sz w:val="20"/>
          <w:szCs w:val="20"/>
        </w:rPr>
        <w:t xml:space="preserve"> work together and create synergies for joint approaches.</w:t>
      </w:r>
    </w:p>
    <w:p w14:paraId="381D509B" w14:textId="4914E4CF" w:rsidR="00EC14A3" w:rsidRPr="0000138D" w:rsidRDefault="00EC14A3" w:rsidP="00A93210">
      <w:pPr>
        <w:pStyle w:val="berschrift3"/>
        <w:rPr>
          <w:b/>
          <w:lang w:val="de-DE"/>
        </w:rPr>
      </w:pPr>
      <w:r w:rsidRPr="0000138D">
        <w:rPr>
          <w:b/>
          <w:lang w:val="de-DE"/>
        </w:rPr>
        <w:t>Call themes:</w:t>
      </w:r>
    </w:p>
    <w:p w14:paraId="3F0DB60B" w14:textId="77777777" w:rsidR="00EC14A3" w:rsidRPr="0000138D" w:rsidRDefault="00EC14A3" w:rsidP="00B03922">
      <w:pPr>
        <w:pStyle w:val="Listenabsatz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0"/>
        </w:rPr>
      </w:pPr>
      <w:r w:rsidRPr="0000138D">
        <w:rPr>
          <w:rFonts w:ascii="Arial" w:hAnsi="Arial" w:cs="Arial"/>
          <w:sz w:val="20"/>
        </w:rPr>
        <w:t xml:space="preserve">Measuring – Environmental </w:t>
      </w:r>
      <w:proofErr w:type="spellStart"/>
      <w:r w:rsidRPr="0000138D">
        <w:rPr>
          <w:rFonts w:ascii="Arial" w:hAnsi="Arial" w:cs="Arial"/>
          <w:sz w:val="20"/>
        </w:rPr>
        <w:t>behaviour</w:t>
      </w:r>
      <w:proofErr w:type="spellEnd"/>
      <w:r w:rsidRPr="0000138D">
        <w:rPr>
          <w:rFonts w:ascii="Arial" w:hAnsi="Arial" w:cs="Arial"/>
          <w:sz w:val="20"/>
        </w:rPr>
        <w:t xml:space="preserve"> of contaminants of emerging concern (CECs), pathogens and antimicrobial resistant bacteria in aquatic ecosystems</w:t>
      </w:r>
    </w:p>
    <w:p w14:paraId="1663FECB" w14:textId="20092601" w:rsidR="00EC14A3" w:rsidRPr="0000138D" w:rsidRDefault="00EC14A3" w:rsidP="00B03922">
      <w:pPr>
        <w:pStyle w:val="Listenabsatz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0"/>
        </w:rPr>
      </w:pPr>
      <w:r w:rsidRPr="0000138D">
        <w:rPr>
          <w:rFonts w:ascii="Arial" w:hAnsi="Arial" w:cs="Arial"/>
          <w:sz w:val="20"/>
        </w:rPr>
        <w:t>Evaluating – Risk assessment and management of CECs, pathogens and antimicrobial resistant bacteria from aquatic ecosystems (inland and marine) to human health and environment</w:t>
      </w:r>
    </w:p>
    <w:p w14:paraId="59E82D1D" w14:textId="21ED7DA7" w:rsidR="00EC14A3" w:rsidRPr="0000138D" w:rsidRDefault="00EC14A3" w:rsidP="00B03922">
      <w:pPr>
        <w:pStyle w:val="Listenabsatz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0"/>
        </w:rPr>
      </w:pPr>
      <w:r w:rsidRPr="0000138D">
        <w:rPr>
          <w:rFonts w:ascii="Arial" w:hAnsi="Arial" w:cs="Arial"/>
          <w:sz w:val="20"/>
        </w:rPr>
        <w:t xml:space="preserve">Taking Actions – Strategies to reduce </w:t>
      </w:r>
      <w:r w:rsidR="00336913" w:rsidRPr="0000138D">
        <w:rPr>
          <w:rFonts w:ascii="Arial" w:hAnsi="Arial" w:cs="Arial"/>
          <w:sz w:val="20"/>
        </w:rPr>
        <w:t>CECs</w:t>
      </w:r>
      <w:r w:rsidRPr="0000138D">
        <w:rPr>
          <w:rFonts w:ascii="Arial" w:hAnsi="Arial" w:cs="Arial"/>
          <w:sz w:val="20"/>
        </w:rPr>
        <w:t>, pathogens and antimicrobial resistant bacteria in aquatic ecosystems (inland and marine)</w:t>
      </w:r>
    </w:p>
    <w:p w14:paraId="43BD88A6" w14:textId="104E1AEA" w:rsidR="00EC14A3" w:rsidRPr="0000138D" w:rsidRDefault="00EC14A3" w:rsidP="00E5373A">
      <w:pPr>
        <w:pStyle w:val="berschrift3"/>
        <w:rPr>
          <w:b/>
          <w:lang w:val="de-DE"/>
        </w:rPr>
      </w:pPr>
      <w:proofErr w:type="spellStart"/>
      <w:r w:rsidRPr="0000138D">
        <w:rPr>
          <w:b/>
          <w:lang w:val="de-DE"/>
        </w:rPr>
        <w:t>Provisional</w:t>
      </w:r>
      <w:proofErr w:type="spellEnd"/>
      <w:r w:rsidRPr="0000138D">
        <w:rPr>
          <w:b/>
          <w:lang w:val="de-DE"/>
        </w:rPr>
        <w:t xml:space="preserve"> </w:t>
      </w:r>
      <w:proofErr w:type="spellStart"/>
      <w:r w:rsidRPr="0000138D">
        <w:rPr>
          <w:b/>
          <w:lang w:val="de-DE"/>
        </w:rPr>
        <w:t>timeline</w:t>
      </w:r>
      <w:proofErr w:type="spellEnd"/>
      <w:r w:rsidRPr="0000138D">
        <w:rPr>
          <w:b/>
          <w:lang w:val="de-DE"/>
        </w:rPr>
        <w:t xml:space="preserve">: </w:t>
      </w:r>
    </w:p>
    <w:p w14:paraId="3393C028" w14:textId="77777777" w:rsidR="00EC14A3" w:rsidRPr="0000138D" w:rsidRDefault="00EC14A3" w:rsidP="00B03922">
      <w:pPr>
        <w:pStyle w:val="Listenabsatz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0"/>
          <w:lang w:val="de-DE"/>
        </w:rPr>
      </w:pPr>
      <w:r w:rsidRPr="0000138D">
        <w:rPr>
          <w:rFonts w:ascii="Arial" w:hAnsi="Arial" w:cs="Arial"/>
          <w:sz w:val="20"/>
          <w:lang w:val="de-DE"/>
        </w:rPr>
        <w:t>February 17th 2020: Call opening</w:t>
      </w:r>
    </w:p>
    <w:p w14:paraId="72871A5E" w14:textId="77777777" w:rsidR="00EC14A3" w:rsidRPr="0000138D" w:rsidRDefault="00EC14A3" w:rsidP="00B03922">
      <w:pPr>
        <w:pStyle w:val="Listenabsatz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0"/>
          <w:lang w:val="de-DE"/>
        </w:rPr>
      </w:pPr>
      <w:r w:rsidRPr="0000138D">
        <w:rPr>
          <w:rFonts w:ascii="Arial" w:hAnsi="Arial" w:cs="Arial"/>
          <w:sz w:val="20"/>
          <w:lang w:val="de-DE"/>
        </w:rPr>
        <w:t>April 16th 2020: Deadline pre-proposals</w:t>
      </w:r>
    </w:p>
    <w:p w14:paraId="382A980C" w14:textId="77777777" w:rsidR="00EC14A3" w:rsidRPr="0000138D" w:rsidRDefault="00EC14A3" w:rsidP="00B03922">
      <w:pPr>
        <w:pStyle w:val="Listenabsatz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0"/>
          <w:lang w:val="de-DE"/>
        </w:rPr>
      </w:pPr>
      <w:r w:rsidRPr="0000138D">
        <w:rPr>
          <w:rFonts w:ascii="Arial" w:hAnsi="Arial" w:cs="Arial"/>
          <w:sz w:val="20"/>
          <w:lang w:val="de-DE"/>
        </w:rPr>
        <w:t>June 2020: Selection of pre-proposals</w:t>
      </w:r>
    </w:p>
    <w:p w14:paraId="4EB72366" w14:textId="77777777" w:rsidR="00EC14A3" w:rsidRPr="0000138D" w:rsidRDefault="00EC14A3" w:rsidP="00B03922">
      <w:pPr>
        <w:pStyle w:val="Listenabsatz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0"/>
          <w:lang w:val="de-DE"/>
        </w:rPr>
      </w:pPr>
      <w:r w:rsidRPr="0000138D">
        <w:rPr>
          <w:rFonts w:ascii="Arial" w:hAnsi="Arial" w:cs="Arial"/>
          <w:sz w:val="20"/>
          <w:lang w:val="de-DE"/>
        </w:rPr>
        <w:t>August 2020: Deadline full proposals</w:t>
      </w:r>
    </w:p>
    <w:p w14:paraId="07D68BEB" w14:textId="254121B7" w:rsidR="00EC14A3" w:rsidRPr="0000138D" w:rsidRDefault="00EC14A3" w:rsidP="00B03922">
      <w:pPr>
        <w:pStyle w:val="Listenabsatz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0"/>
          <w:lang w:val="de-DE"/>
        </w:rPr>
      </w:pPr>
      <w:r w:rsidRPr="0000138D">
        <w:rPr>
          <w:rFonts w:ascii="Arial" w:hAnsi="Arial" w:cs="Arial"/>
          <w:sz w:val="20"/>
          <w:lang w:val="de-DE"/>
        </w:rPr>
        <w:t xml:space="preserve">End 2020 – Beginning 2021: Project start </w:t>
      </w:r>
    </w:p>
    <w:p w14:paraId="436DBCD6" w14:textId="66111051" w:rsidR="00EC14A3" w:rsidRPr="0000138D" w:rsidRDefault="00EC14A3" w:rsidP="00E5373A">
      <w:pPr>
        <w:pStyle w:val="berschrift3"/>
        <w:rPr>
          <w:b/>
        </w:rPr>
      </w:pPr>
      <w:r w:rsidRPr="00E5373A">
        <w:rPr>
          <w:b/>
          <w:lang w:val="de-DE"/>
        </w:rPr>
        <w:t xml:space="preserve">Participating countries and </w:t>
      </w:r>
      <w:proofErr w:type="spellStart"/>
      <w:r w:rsidRPr="00E5373A">
        <w:rPr>
          <w:b/>
          <w:lang w:val="de-DE"/>
        </w:rPr>
        <w:t>organisations</w:t>
      </w:r>
      <w:proofErr w:type="spellEnd"/>
      <w:r w:rsidRPr="00E5373A">
        <w:rPr>
          <w:b/>
          <w:lang w:val="de-DE"/>
        </w:rPr>
        <w:t xml:space="preserve"> </w:t>
      </w:r>
    </w:p>
    <w:p w14:paraId="0E9B6607" w14:textId="13D9D14B" w:rsidR="00EC14A3" w:rsidRPr="0000138D" w:rsidRDefault="00EC14A3" w:rsidP="00B03922">
      <w:pPr>
        <w:pStyle w:val="Listenabsatz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lang w:val="de-DE"/>
        </w:rPr>
      </w:pPr>
      <w:r w:rsidRPr="0000138D">
        <w:rPr>
          <w:rFonts w:ascii="Arial" w:hAnsi="Arial" w:cs="Arial"/>
          <w:sz w:val="20"/>
          <w:lang w:val="de-DE"/>
        </w:rPr>
        <w:t>Belgium / BELSPO / FNRS / FWO</w:t>
      </w:r>
      <w:bookmarkStart w:id="0" w:name="_GoBack"/>
      <w:bookmarkEnd w:id="0"/>
    </w:p>
    <w:p w14:paraId="7AA5C387" w14:textId="77777777" w:rsidR="00EC14A3" w:rsidRPr="0000138D" w:rsidRDefault="00EC14A3" w:rsidP="00B03922">
      <w:pPr>
        <w:pStyle w:val="Listenabsatz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lang w:val="de-DE"/>
        </w:rPr>
      </w:pPr>
      <w:r w:rsidRPr="0000138D">
        <w:rPr>
          <w:rFonts w:ascii="Arial" w:hAnsi="Arial" w:cs="Arial"/>
          <w:sz w:val="20"/>
          <w:lang w:val="de-DE"/>
        </w:rPr>
        <w:t>Brazil / CONFAP</w:t>
      </w:r>
    </w:p>
    <w:p w14:paraId="444AF998" w14:textId="77777777" w:rsidR="00EC14A3" w:rsidRPr="0000138D" w:rsidRDefault="00EC14A3" w:rsidP="00B03922">
      <w:pPr>
        <w:pStyle w:val="Listenabsatz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lang w:val="de-DE"/>
        </w:rPr>
      </w:pPr>
      <w:r w:rsidRPr="0000138D">
        <w:rPr>
          <w:rFonts w:ascii="Arial" w:hAnsi="Arial" w:cs="Arial"/>
          <w:sz w:val="20"/>
          <w:lang w:val="de-DE"/>
        </w:rPr>
        <w:t>Cyprus / RIF</w:t>
      </w:r>
    </w:p>
    <w:p w14:paraId="0B561743" w14:textId="77777777" w:rsidR="00EC14A3" w:rsidRPr="0000138D" w:rsidRDefault="00EC14A3" w:rsidP="00B03922">
      <w:pPr>
        <w:pStyle w:val="Listenabsatz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lang w:val="de-DE"/>
        </w:rPr>
      </w:pPr>
      <w:r w:rsidRPr="0000138D">
        <w:rPr>
          <w:rFonts w:ascii="Arial" w:hAnsi="Arial" w:cs="Arial"/>
          <w:sz w:val="20"/>
          <w:lang w:val="de-DE"/>
        </w:rPr>
        <w:t>Czech Republic / TAČR</w:t>
      </w:r>
    </w:p>
    <w:p w14:paraId="00C70D0E" w14:textId="77777777" w:rsidR="00EC14A3" w:rsidRPr="0000138D" w:rsidRDefault="00EC14A3" w:rsidP="00B03922">
      <w:pPr>
        <w:pStyle w:val="Listenabsatz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lang w:val="de-DE"/>
        </w:rPr>
      </w:pPr>
      <w:r w:rsidRPr="0000138D">
        <w:rPr>
          <w:rFonts w:ascii="Arial" w:hAnsi="Arial" w:cs="Arial"/>
          <w:sz w:val="20"/>
          <w:lang w:val="de-DE"/>
        </w:rPr>
        <w:t>Denmark / IFD</w:t>
      </w:r>
    </w:p>
    <w:p w14:paraId="6F4C8FE6" w14:textId="77777777" w:rsidR="00EC14A3" w:rsidRPr="0000138D" w:rsidRDefault="00EC14A3" w:rsidP="00B03922">
      <w:pPr>
        <w:pStyle w:val="Listenabsatz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lang w:val="de-DE"/>
        </w:rPr>
      </w:pPr>
      <w:r w:rsidRPr="0000138D">
        <w:rPr>
          <w:rFonts w:ascii="Arial" w:hAnsi="Arial" w:cs="Arial"/>
          <w:sz w:val="20"/>
          <w:lang w:val="de-DE"/>
        </w:rPr>
        <w:t>Egypt / ASRT</w:t>
      </w:r>
    </w:p>
    <w:p w14:paraId="67396523" w14:textId="77777777" w:rsidR="00EC14A3" w:rsidRPr="0000138D" w:rsidRDefault="00EC14A3" w:rsidP="00B03922">
      <w:pPr>
        <w:pStyle w:val="Listenabsatz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lang w:val="de-DE"/>
        </w:rPr>
      </w:pPr>
      <w:r w:rsidRPr="0000138D">
        <w:rPr>
          <w:rFonts w:ascii="Arial" w:hAnsi="Arial" w:cs="Arial"/>
          <w:sz w:val="20"/>
          <w:lang w:val="de-DE"/>
        </w:rPr>
        <w:t>Estonia / ETAg</w:t>
      </w:r>
    </w:p>
    <w:p w14:paraId="1FE9DB64" w14:textId="77777777" w:rsidR="00EC14A3" w:rsidRPr="0000138D" w:rsidRDefault="00EC14A3" w:rsidP="00B03922">
      <w:pPr>
        <w:pStyle w:val="Listenabsatz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lang w:val="de-DE"/>
        </w:rPr>
      </w:pPr>
      <w:r w:rsidRPr="0000138D">
        <w:rPr>
          <w:rFonts w:ascii="Arial" w:hAnsi="Arial" w:cs="Arial"/>
          <w:sz w:val="20"/>
          <w:lang w:val="de-DE"/>
        </w:rPr>
        <w:t>Finland / AKA</w:t>
      </w:r>
    </w:p>
    <w:p w14:paraId="69923F7A" w14:textId="77777777" w:rsidR="00EC14A3" w:rsidRPr="0000138D" w:rsidRDefault="00EC14A3" w:rsidP="00B03922">
      <w:pPr>
        <w:pStyle w:val="Listenabsatz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lang w:val="de-DE"/>
        </w:rPr>
      </w:pPr>
      <w:r w:rsidRPr="0000138D">
        <w:rPr>
          <w:rFonts w:ascii="Arial" w:hAnsi="Arial" w:cs="Arial"/>
          <w:sz w:val="20"/>
          <w:lang w:val="de-DE"/>
        </w:rPr>
        <w:t>France / ANR</w:t>
      </w:r>
    </w:p>
    <w:p w14:paraId="2A9A1558" w14:textId="77777777" w:rsidR="00EC14A3" w:rsidRPr="0000138D" w:rsidRDefault="00EC14A3" w:rsidP="00B03922">
      <w:pPr>
        <w:pStyle w:val="Listenabsatz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lang w:val="de-DE"/>
        </w:rPr>
      </w:pPr>
      <w:r w:rsidRPr="0000138D">
        <w:rPr>
          <w:rFonts w:ascii="Arial" w:hAnsi="Arial" w:cs="Arial"/>
          <w:sz w:val="20"/>
          <w:lang w:val="de-DE"/>
        </w:rPr>
        <w:t>Germany / BMBF</w:t>
      </w:r>
    </w:p>
    <w:p w14:paraId="7431ABA1" w14:textId="77777777" w:rsidR="00EC14A3" w:rsidRPr="0000138D" w:rsidRDefault="00EC14A3" w:rsidP="00B03922">
      <w:pPr>
        <w:pStyle w:val="Listenabsatz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lang w:val="de-DE"/>
        </w:rPr>
      </w:pPr>
      <w:r w:rsidRPr="0000138D">
        <w:rPr>
          <w:rFonts w:ascii="Arial" w:hAnsi="Arial" w:cs="Arial"/>
          <w:sz w:val="20"/>
          <w:lang w:val="de-DE"/>
        </w:rPr>
        <w:t>Greece / GSRT</w:t>
      </w:r>
    </w:p>
    <w:p w14:paraId="30923773" w14:textId="77777777" w:rsidR="00EC14A3" w:rsidRPr="0000138D" w:rsidRDefault="00EC14A3" w:rsidP="00B03922">
      <w:pPr>
        <w:pStyle w:val="Listenabsatz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lang w:val="de-DE"/>
        </w:rPr>
      </w:pPr>
      <w:r w:rsidRPr="0000138D">
        <w:rPr>
          <w:rFonts w:ascii="Arial" w:hAnsi="Arial" w:cs="Arial"/>
          <w:sz w:val="20"/>
          <w:lang w:val="de-DE"/>
        </w:rPr>
        <w:t>Ireland / EPA</w:t>
      </w:r>
    </w:p>
    <w:p w14:paraId="74660945" w14:textId="77777777" w:rsidR="00EC14A3" w:rsidRPr="0000138D" w:rsidRDefault="00EC14A3" w:rsidP="00B03922">
      <w:pPr>
        <w:pStyle w:val="Listenabsatz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lang w:val="de-DE"/>
        </w:rPr>
      </w:pPr>
      <w:r w:rsidRPr="0000138D">
        <w:rPr>
          <w:rFonts w:ascii="Arial" w:hAnsi="Arial" w:cs="Arial"/>
          <w:sz w:val="20"/>
          <w:lang w:val="de-DE"/>
        </w:rPr>
        <w:lastRenderedPageBreak/>
        <w:t>Israel / CSO-MOH</w:t>
      </w:r>
    </w:p>
    <w:p w14:paraId="5929B5A4" w14:textId="48AFE14E" w:rsidR="00EC14A3" w:rsidRPr="0000138D" w:rsidRDefault="00EC14A3" w:rsidP="00B03922">
      <w:pPr>
        <w:pStyle w:val="Listenabsatz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</w:rPr>
      </w:pPr>
      <w:r w:rsidRPr="0000138D">
        <w:rPr>
          <w:rFonts w:ascii="Arial" w:hAnsi="Arial" w:cs="Arial"/>
          <w:sz w:val="20"/>
        </w:rPr>
        <w:t>Italy / A.R.P.A. Sicilia / MIUR</w:t>
      </w:r>
    </w:p>
    <w:p w14:paraId="302A4AD1" w14:textId="77777777" w:rsidR="00EC14A3" w:rsidRPr="0000138D" w:rsidRDefault="00EC14A3" w:rsidP="00B03922">
      <w:pPr>
        <w:pStyle w:val="Listenabsatz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lang w:val="de-DE"/>
        </w:rPr>
      </w:pPr>
      <w:proofErr w:type="spellStart"/>
      <w:r w:rsidRPr="0000138D">
        <w:rPr>
          <w:rFonts w:ascii="Arial" w:hAnsi="Arial" w:cs="Arial"/>
          <w:sz w:val="20"/>
          <w:lang w:val="de-DE"/>
        </w:rPr>
        <w:t>Moldova</w:t>
      </w:r>
      <w:proofErr w:type="spellEnd"/>
      <w:r w:rsidRPr="0000138D">
        <w:rPr>
          <w:rFonts w:ascii="Arial" w:hAnsi="Arial" w:cs="Arial"/>
          <w:sz w:val="20"/>
          <w:lang w:val="de-DE"/>
        </w:rPr>
        <w:t xml:space="preserve"> / NARD</w:t>
      </w:r>
    </w:p>
    <w:p w14:paraId="6184FF87" w14:textId="77777777" w:rsidR="00EC14A3" w:rsidRPr="0000138D" w:rsidRDefault="00EC14A3" w:rsidP="00B03922">
      <w:pPr>
        <w:pStyle w:val="Listenabsatz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lang w:val="de-DE"/>
        </w:rPr>
      </w:pPr>
      <w:r w:rsidRPr="0000138D">
        <w:rPr>
          <w:rFonts w:ascii="Arial" w:hAnsi="Arial" w:cs="Arial"/>
          <w:sz w:val="20"/>
          <w:lang w:val="de-DE"/>
        </w:rPr>
        <w:t>Norway / RCN</w:t>
      </w:r>
    </w:p>
    <w:p w14:paraId="464BC272" w14:textId="77777777" w:rsidR="00EC14A3" w:rsidRPr="0000138D" w:rsidRDefault="00EC14A3" w:rsidP="00B03922">
      <w:pPr>
        <w:pStyle w:val="Listenabsatz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lang w:val="de-DE"/>
        </w:rPr>
      </w:pPr>
      <w:r w:rsidRPr="0000138D">
        <w:rPr>
          <w:rFonts w:ascii="Arial" w:hAnsi="Arial" w:cs="Arial"/>
          <w:sz w:val="20"/>
          <w:lang w:val="de-DE"/>
        </w:rPr>
        <w:t>Poland / NCBR</w:t>
      </w:r>
    </w:p>
    <w:p w14:paraId="636F7889" w14:textId="77777777" w:rsidR="00EC14A3" w:rsidRPr="0000138D" w:rsidRDefault="00EC14A3" w:rsidP="00B03922">
      <w:pPr>
        <w:pStyle w:val="Listenabsatz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lang w:val="de-DE"/>
        </w:rPr>
      </w:pPr>
      <w:r w:rsidRPr="0000138D">
        <w:rPr>
          <w:rFonts w:ascii="Arial" w:hAnsi="Arial" w:cs="Arial"/>
          <w:sz w:val="20"/>
          <w:lang w:val="de-DE"/>
        </w:rPr>
        <w:t>Portugal / FCT</w:t>
      </w:r>
    </w:p>
    <w:p w14:paraId="467019E7" w14:textId="77777777" w:rsidR="00EC14A3" w:rsidRPr="0000138D" w:rsidRDefault="00EC14A3" w:rsidP="00B03922">
      <w:pPr>
        <w:pStyle w:val="Listenabsatz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lang w:val="de-DE"/>
        </w:rPr>
      </w:pPr>
      <w:r w:rsidRPr="0000138D">
        <w:rPr>
          <w:rFonts w:ascii="Arial" w:hAnsi="Arial" w:cs="Arial"/>
          <w:sz w:val="20"/>
          <w:lang w:val="de-DE"/>
        </w:rPr>
        <w:t>Romania / UEFISCDI</w:t>
      </w:r>
    </w:p>
    <w:p w14:paraId="559E8F9A" w14:textId="49CD8407" w:rsidR="00EC14A3" w:rsidRPr="0000138D" w:rsidRDefault="00EC14A3" w:rsidP="00B03922">
      <w:pPr>
        <w:pStyle w:val="Listenabsatz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lang w:val="de-DE"/>
        </w:rPr>
      </w:pPr>
      <w:r w:rsidRPr="0000138D">
        <w:rPr>
          <w:rFonts w:ascii="Arial" w:hAnsi="Arial" w:cs="Arial"/>
          <w:sz w:val="20"/>
          <w:lang w:val="de-DE"/>
        </w:rPr>
        <w:t>South Africa /</w:t>
      </w:r>
      <w:r w:rsidR="00B03922" w:rsidRPr="0000138D">
        <w:rPr>
          <w:rFonts w:ascii="Arial" w:hAnsi="Arial" w:cs="Arial"/>
          <w:sz w:val="20"/>
          <w:lang w:val="de-DE"/>
        </w:rPr>
        <w:t xml:space="preserve"> </w:t>
      </w:r>
      <w:r w:rsidRPr="0000138D">
        <w:rPr>
          <w:rFonts w:ascii="Arial" w:hAnsi="Arial" w:cs="Arial"/>
          <w:sz w:val="20"/>
          <w:lang w:val="de-DE"/>
        </w:rPr>
        <w:t>WRC</w:t>
      </w:r>
    </w:p>
    <w:p w14:paraId="3EF7FB3C" w14:textId="77777777" w:rsidR="00EC14A3" w:rsidRPr="0000138D" w:rsidRDefault="00EC14A3" w:rsidP="00B03922">
      <w:pPr>
        <w:pStyle w:val="Listenabsatz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lang w:val="de-DE"/>
        </w:rPr>
      </w:pPr>
      <w:r w:rsidRPr="0000138D">
        <w:rPr>
          <w:rFonts w:ascii="Arial" w:hAnsi="Arial" w:cs="Arial"/>
          <w:sz w:val="20"/>
          <w:lang w:val="de-DE"/>
        </w:rPr>
        <w:t>Spain / AEI</w:t>
      </w:r>
    </w:p>
    <w:p w14:paraId="79777317" w14:textId="21CAE1F4" w:rsidR="00EC14A3" w:rsidRPr="0000138D" w:rsidRDefault="00EC14A3" w:rsidP="00B03922">
      <w:pPr>
        <w:pStyle w:val="Listenabsatz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lang w:val="de-DE"/>
        </w:rPr>
      </w:pPr>
      <w:r w:rsidRPr="0000138D">
        <w:rPr>
          <w:rFonts w:ascii="Arial" w:hAnsi="Arial" w:cs="Arial"/>
          <w:sz w:val="20"/>
          <w:lang w:val="de-DE"/>
        </w:rPr>
        <w:t>Sweden / FORMAS / SRC</w:t>
      </w:r>
    </w:p>
    <w:p w14:paraId="76873F19" w14:textId="77777777" w:rsidR="00EC14A3" w:rsidRPr="0000138D" w:rsidRDefault="00EC14A3" w:rsidP="00B03922">
      <w:pPr>
        <w:pStyle w:val="Listenabsatz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lang w:val="de-DE"/>
        </w:rPr>
      </w:pPr>
      <w:r w:rsidRPr="0000138D">
        <w:rPr>
          <w:rFonts w:ascii="Arial" w:hAnsi="Arial" w:cs="Arial"/>
          <w:sz w:val="20"/>
          <w:lang w:val="de-DE"/>
        </w:rPr>
        <w:t>Taiwan / MoST</w:t>
      </w:r>
    </w:p>
    <w:p w14:paraId="3D8CAB20" w14:textId="77777777" w:rsidR="00EC14A3" w:rsidRPr="0000138D" w:rsidRDefault="00EC14A3" w:rsidP="00B03922">
      <w:pPr>
        <w:pStyle w:val="Listenabsatz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lang w:val="de-DE"/>
        </w:rPr>
      </w:pPr>
      <w:r w:rsidRPr="0000138D">
        <w:rPr>
          <w:rFonts w:ascii="Arial" w:hAnsi="Arial" w:cs="Arial"/>
          <w:sz w:val="20"/>
          <w:lang w:val="de-DE"/>
        </w:rPr>
        <w:t>Tunesia / MHESR</w:t>
      </w:r>
    </w:p>
    <w:p w14:paraId="5ED40BC2" w14:textId="519E0083" w:rsidR="00A013D3" w:rsidRPr="0000138D" w:rsidRDefault="00EC14A3" w:rsidP="00B03922">
      <w:pPr>
        <w:pStyle w:val="Listenabsatz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lang w:val="de-DE"/>
        </w:rPr>
      </w:pPr>
      <w:r w:rsidRPr="0000138D">
        <w:rPr>
          <w:rFonts w:ascii="Arial" w:hAnsi="Arial" w:cs="Arial"/>
          <w:sz w:val="20"/>
          <w:lang w:val="de-DE"/>
        </w:rPr>
        <w:t>Turkey / TUBI</w:t>
      </w:r>
      <w:r w:rsidR="00336913" w:rsidRPr="0000138D">
        <w:rPr>
          <w:rFonts w:ascii="Arial" w:hAnsi="Arial" w:cs="Arial"/>
          <w:sz w:val="20"/>
          <w:lang w:val="de-DE"/>
        </w:rPr>
        <w:t>T</w:t>
      </w:r>
      <w:r w:rsidRPr="0000138D">
        <w:rPr>
          <w:rFonts w:ascii="Arial" w:hAnsi="Arial" w:cs="Arial"/>
          <w:sz w:val="20"/>
          <w:lang w:val="de-DE"/>
        </w:rPr>
        <w:t>AK</w:t>
      </w:r>
    </w:p>
    <w:p w14:paraId="3B940C96" w14:textId="499ECBFB" w:rsidR="00EC14A3" w:rsidRPr="0000138D" w:rsidRDefault="00A013D3" w:rsidP="00B03922">
      <w:pPr>
        <w:pStyle w:val="Listenabsatz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0"/>
          <w:lang w:val="de-DE"/>
        </w:rPr>
      </w:pPr>
      <w:r w:rsidRPr="0000138D">
        <w:rPr>
          <w:rFonts w:ascii="Arial" w:hAnsi="Arial" w:cs="Arial"/>
          <w:sz w:val="20"/>
          <w:lang w:val="de-DE"/>
        </w:rPr>
        <w:t xml:space="preserve"> Scotland (United Kingdom) / Scottish Enterprise</w:t>
      </w:r>
      <w:r w:rsidR="00EC14A3" w:rsidRPr="0000138D">
        <w:rPr>
          <w:rFonts w:ascii="Arial" w:hAnsi="Arial" w:cs="Arial"/>
          <w:sz w:val="18"/>
          <w:szCs w:val="20"/>
        </w:rPr>
        <w:t> </w:t>
      </w:r>
    </w:p>
    <w:p w14:paraId="6C042B75" w14:textId="316B8850" w:rsidR="00A013D3" w:rsidRPr="0000138D" w:rsidRDefault="00A013D3" w:rsidP="00B03922">
      <w:pPr>
        <w:spacing w:before="100" w:beforeAutospacing="1" w:after="100" w:afterAutospacing="1"/>
        <w:jc w:val="both"/>
        <w:rPr>
          <w:rFonts w:ascii="Arial" w:hAnsi="Arial" w:cs="Arial"/>
          <w:sz w:val="20"/>
        </w:rPr>
      </w:pPr>
      <w:r w:rsidRPr="0000138D">
        <w:rPr>
          <w:rFonts w:ascii="Arial" w:hAnsi="Arial" w:cs="Arial"/>
          <w:sz w:val="20"/>
        </w:rPr>
        <w:t xml:space="preserve">Aquatic Pollutants has received funding from the European Union's Horizon 2020 research and innovation </w:t>
      </w:r>
      <w:proofErr w:type="spellStart"/>
      <w:r w:rsidRPr="0000138D">
        <w:rPr>
          <w:rFonts w:ascii="Arial" w:hAnsi="Arial" w:cs="Arial"/>
          <w:sz w:val="20"/>
        </w:rPr>
        <w:t>programme</w:t>
      </w:r>
      <w:proofErr w:type="spellEnd"/>
      <w:r w:rsidR="00B03922" w:rsidRPr="0000138D">
        <w:rPr>
          <w:rFonts w:ascii="Arial" w:hAnsi="Arial" w:cs="Arial"/>
          <w:sz w:val="20"/>
        </w:rPr>
        <w:t xml:space="preserve"> </w:t>
      </w:r>
      <w:r w:rsidR="00336913" w:rsidRPr="0000138D">
        <w:rPr>
          <w:rFonts w:ascii="Arial" w:hAnsi="Arial" w:cs="Arial"/>
          <w:sz w:val="20"/>
        </w:rPr>
        <w:t>under grant agreement No 869178-AquaticPollutants.</w:t>
      </w:r>
    </w:p>
    <w:p w14:paraId="5DD53268" w14:textId="2972FF83" w:rsidR="0000138D" w:rsidRPr="0000138D" w:rsidRDefault="0000138D" w:rsidP="00B03922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</w:rPr>
      </w:pPr>
      <w:r w:rsidRPr="0000138D">
        <w:rPr>
          <w:rFonts w:ascii="Arial" w:hAnsi="Arial" w:cs="Arial"/>
          <w:b/>
          <w:sz w:val="20"/>
        </w:rPr>
        <w:t xml:space="preserve">Please note that the information is provisional and </w:t>
      </w:r>
      <w:proofErr w:type="gramStart"/>
      <w:r w:rsidRPr="0000138D">
        <w:rPr>
          <w:rFonts w:ascii="Arial" w:hAnsi="Arial" w:cs="Arial"/>
          <w:b/>
          <w:sz w:val="20"/>
        </w:rPr>
        <w:t>that changes</w:t>
      </w:r>
      <w:proofErr w:type="gramEnd"/>
      <w:r w:rsidRPr="0000138D">
        <w:rPr>
          <w:rFonts w:ascii="Arial" w:hAnsi="Arial" w:cs="Arial"/>
          <w:b/>
          <w:sz w:val="20"/>
        </w:rPr>
        <w:t xml:space="preserve"> may occur in the official call announcement.</w:t>
      </w:r>
    </w:p>
    <w:sectPr w:rsidR="0000138D" w:rsidRPr="00001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C7F"/>
    <w:multiLevelType w:val="hybridMultilevel"/>
    <w:tmpl w:val="B838E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31D4C"/>
    <w:multiLevelType w:val="hybridMultilevel"/>
    <w:tmpl w:val="546E6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849F5"/>
    <w:multiLevelType w:val="hybridMultilevel"/>
    <w:tmpl w:val="1084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A3A05"/>
    <w:multiLevelType w:val="hybridMultilevel"/>
    <w:tmpl w:val="1B667D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A3"/>
    <w:rsid w:val="000012AC"/>
    <w:rsid w:val="0000138D"/>
    <w:rsid w:val="000B02BD"/>
    <w:rsid w:val="00336913"/>
    <w:rsid w:val="0042313B"/>
    <w:rsid w:val="0074650F"/>
    <w:rsid w:val="00855A1B"/>
    <w:rsid w:val="00A013D3"/>
    <w:rsid w:val="00A93210"/>
    <w:rsid w:val="00B03922"/>
    <w:rsid w:val="00E5373A"/>
    <w:rsid w:val="00EC14A3"/>
    <w:rsid w:val="00EE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A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14A3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C14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C1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C14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14A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C14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C14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C14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14A3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C14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C1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C14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14A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C14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C14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C14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PTJ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De Moor</dc:creator>
  <cp:lastModifiedBy>Pietsch, Stefanie</cp:lastModifiedBy>
  <cp:revision>4</cp:revision>
  <dcterms:created xsi:type="dcterms:W3CDTF">2019-12-17T13:20:00Z</dcterms:created>
  <dcterms:modified xsi:type="dcterms:W3CDTF">2019-12-18T10:28:00Z</dcterms:modified>
</cp:coreProperties>
</file>