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22" w:rsidRPr="00B24AD4" w:rsidRDefault="00975922" w:rsidP="00975922">
      <w:pPr>
        <w:spacing w:after="0" w:line="240" w:lineRule="auto"/>
        <w:jc w:val="center"/>
        <w:rPr>
          <w:rFonts w:eastAsia="Times New Roman" w:cs="Arial"/>
          <w:b/>
          <w:lang w:val="el-GR"/>
        </w:rPr>
      </w:pPr>
      <w:r w:rsidRPr="00B24AD4">
        <w:rPr>
          <w:rFonts w:eastAsia="Times New Roman" w:cs="Arial"/>
          <w:b/>
          <w:lang w:val="el-GR"/>
        </w:rPr>
        <w:t>ΠΡΟΣΚΛΗΣΗ ΕΚΔΗΛΩΣΗΣ ΕΝΔΙΑΦΕΡΟΝΤΟΣ</w:t>
      </w:r>
    </w:p>
    <w:p w:rsidR="00A45CF2" w:rsidRPr="00B24AD4" w:rsidRDefault="009F2F55" w:rsidP="00A45CF2">
      <w:pPr>
        <w:jc w:val="center"/>
        <w:rPr>
          <w:b/>
          <w:color w:val="000000"/>
          <w:lang w:val="el-GR"/>
        </w:rPr>
      </w:pPr>
      <w:r w:rsidRPr="00B24AD4">
        <w:rPr>
          <w:b/>
          <w:color w:val="000000"/>
          <w:lang w:val="el-GR"/>
        </w:rPr>
        <w:t xml:space="preserve">Ιούνιος </w:t>
      </w:r>
      <w:r w:rsidR="00A45CF2" w:rsidRPr="00B24AD4">
        <w:rPr>
          <w:b/>
          <w:color w:val="000000"/>
          <w:lang w:val="el-GR"/>
        </w:rPr>
        <w:t xml:space="preserve">2016 </w:t>
      </w:r>
    </w:p>
    <w:p w:rsidR="00DC352A" w:rsidRDefault="00A45CF2" w:rsidP="00975922">
      <w:pPr>
        <w:spacing w:after="0" w:line="240" w:lineRule="auto"/>
        <w:jc w:val="both"/>
        <w:rPr>
          <w:color w:val="000000"/>
          <w:lang w:val="el-GR"/>
        </w:rPr>
      </w:pPr>
      <w:r w:rsidRPr="00DC352A">
        <w:rPr>
          <w:color w:val="000000"/>
          <w:lang w:val="el-GR"/>
        </w:rPr>
        <w:t>Η Γενική Γραμματεία Έρευνας και Τεχνολογίας ανακοινώνει</w:t>
      </w:r>
      <w:r w:rsidRPr="00DC352A">
        <w:rPr>
          <w:color w:val="000000"/>
        </w:rPr>
        <w:t> </w:t>
      </w:r>
      <w:r w:rsidRPr="00DC352A">
        <w:rPr>
          <w:rStyle w:val="apple-converted-space"/>
          <w:color w:val="000000"/>
        </w:rPr>
        <w:t> </w:t>
      </w:r>
      <w:r w:rsidRPr="00DC352A">
        <w:rPr>
          <w:rStyle w:val="a3"/>
          <w:color w:val="000000"/>
          <w:lang w:val="el-GR"/>
        </w:rPr>
        <w:t xml:space="preserve">πρόσκληση εκδήλωσης ενδιαφέροντος </w:t>
      </w:r>
      <w:r w:rsidRPr="00DC352A">
        <w:rPr>
          <w:color w:val="000000"/>
          <w:lang w:val="el-GR"/>
        </w:rPr>
        <w:t xml:space="preserve">για την υποβολή προτάσεων Υποδομών Έρευνας, με στόχο την ολοκλήρωση </w:t>
      </w:r>
      <w:r w:rsidR="00C422A2">
        <w:rPr>
          <w:color w:val="000000"/>
          <w:lang w:val="el-GR"/>
        </w:rPr>
        <w:t xml:space="preserve">της χαρτογράφησης των ΕΥ της χώρας </w:t>
      </w:r>
      <w:r w:rsidR="009F2F55" w:rsidRPr="00DC352A">
        <w:rPr>
          <w:color w:val="000000"/>
          <w:lang w:val="el-GR"/>
        </w:rPr>
        <w:t>και</w:t>
      </w:r>
      <w:r w:rsidRPr="00DC352A">
        <w:rPr>
          <w:color w:val="000000"/>
          <w:lang w:val="el-GR"/>
        </w:rPr>
        <w:t xml:space="preserve"> την εκπλήρωση της αιρεσιμότητας 1.2 «</w:t>
      </w:r>
      <w:r w:rsidRPr="00DC352A">
        <w:rPr>
          <w:color w:val="000000"/>
          <w:lang w:val="en-US"/>
        </w:rPr>
        <w:t>Research</w:t>
      </w:r>
      <w:r w:rsidRPr="00DC352A">
        <w:rPr>
          <w:color w:val="000000"/>
          <w:lang w:val="el-GR"/>
        </w:rPr>
        <w:t xml:space="preserve"> &amp; </w:t>
      </w:r>
      <w:r w:rsidRPr="00DC352A">
        <w:rPr>
          <w:color w:val="000000"/>
          <w:lang w:val="en-US"/>
        </w:rPr>
        <w:t>Innovation</w:t>
      </w:r>
      <w:r w:rsidRPr="00DC352A">
        <w:rPr>
          <w:color w:val="000000"/>
          <w:lang w:val="el-GR"/>
        </w:rPr>
        <w:t xml:space="preserve"> </w:t>
      </w:r>
      <w:r w:rsidRPr="00DC352A">
        <w:rPr>
          <w:color w:val="000000"/>
          <w:lang w:val="en-US"/>
        </w:rPr>
        <w:t>Infrastructure</w:t>
      </w:r>
      <w:r w:rsidRPr="00DC352A">
        <w:rPr>
          <w:color w:val="000000"/>
          <w:lang w:val="el-GR"/>
        </w:rPr>
        <w:t xml:space="preserve">». </w:t>
      </w:r>
    </w:p>
    <w:p w:rsidR="00975922" w:rsidRPr="00DC352A" w:rsidRDefault="00A45CF2" w:rsidP="00975922">
      <w:pPr>
        <w:spacing w:after="0" w:line="240" w:lineRule="auto"/>
        <w:jc w:val="both"/>
        <w:rPr>
          <w:color w:val="000000"/>
          <w:lang w:val="el-GR"/>
        </w:rPr>
      </w:pPr>
      <w:r w:rsidRPr="00DC352A">
        <w:rPr>
          <w:color w:val="000000"/>
          <w:lang w:val="el-GR"/>
        </w:rPr>
        <w:t>Ειδικότερα, μέσω της παρούσας πρόσκλησης θα επιδιωχθεί συμπλήρωση (επέκταση/</w:t>
      </w:r>
      <w:r w:rsidR="00F4639F">
        <w:rPr>
          <w:color w:val="000000"/>
          <w:lang w:val="el-GR"/>
        </w:rPr>
        <w:t>διεύρυνση</w:t>
      </w:r>
      <w:r w:rsidRPr="00DC352A">
        <w:rPr>
          <w:color w:val="000000"/>
          <w:lang w:val="el-GR"/>
        </w:rPr>
        <w:t xml:space="preserve">) του </w:t>
      </w:r>
      <w:r w:rsidR="009F2F55" w:rsidRPr="00DC352A">
        <w:rPr>
          <w:color w:val="000000"/>
          <w:lang w:val="el-GR"/>
        </w:rPr>
        <w:t>Πολυετούς Χρηματοδοτικού Σχεδίου</w:t>
      </w:r>
      <w:r w:rsidR="00422143">
        <w:rPr>
          <w:color w:val="000000"/>
          <w:lang w:val="el-GR"/>
        </w:rPr>
        <w:t xml:space="preserve"> </w:t>
      </w:r>
      <w:r w:rsidR="007B7A09">
        <w:rPr>
          <w:color w:val="000000"/>
          <w:lang w:val="el-GR"/>
        </w:rPr>
        <w:t>(</w:t>
      </w:r>
      <w:r w:rsidR="007B7A09">
        <w:rPr>
          <w:color w:val="000000"/>
          <w:lang w:val="en-US"/>
        </w:rPr>
        <w:t>multi</w:t>
      </w:r>
      <w:r w:rsidR="005E2310" w:rsidRPr="005E2310">
        <w:rPr>
          <w:color w:val="000000"/>
          <w:lang w:val="el-GR"/>
        </w:rPr>
        <w:t>-</w:t>
      </w:r>
      <w:r w:rsidR="007B7A09">
        <w:rPr>
          <w:color w:val="000000"/>
          <w:lang w:val="en-US"/>
        </w:rPr>
        <w:t>annual</w:t>
      </w:r>
      <w:r w:rsidR="005E2310" w:rsidRPr="005E2310">
        <w:rPr>
          <w:color w:val="000000"/>
          <w:lang w:val="el-GR"/>
        </w:rPr>
        <w:t xml:space="preserve"> </w:t>
      </w:r>
      <w:r w:rsidR="007B7A09">
        <w:rPr>
          <w:color w:val="000000"/>
          <w:lang w:val="en-US"/>
        </w:rPr>
        <w:t>plan</w:t>
      </w:r>
      <w:r w:rsidR="005E2310" w:rsidRPr="005E2310">
        <w:rPr>
          <w:color w:val="000000"/>
          <w:lang w:val="el-GR"/>
        </w:rPr>
        <w:t xml:space="preserve">) </w:t>
      </w:r>
      <w:r w:rsidR="00422143">
        <w:rPr>
          <w:color w:val="000000"/>
          <w:lang w:val="el-GR"/>
        </w:rPr>
        <w:t>ΕΥ</w:t>
      </w:r>
      <w:r w:rsidR="009F2F55" w:rsidRPr="00DC352A">
        <w:rPr>
          <w:color w:val="000000"/>
          <w:lang w:val="el-GR"/>
        </w:rPr>
        <w:t xml:space="preserve"> και συνακόλουθα του </w:t>
      </w:r>
      <w:r w:rsidRPr="00DC352A">
        <w:rPr>
          <w:color w:val="000000"/>
          <w:lang w:val="el-GR"/>
        </w:rPr>
        <w:t xml:space="preserve">Οδικού Χάρτη </w:t>
      </w:r>
      <w:r w:rsidR="009F2F55" w:rsidRPr="00DC352A">
        <w:rPr>
          <w:color w:val="000000"/>
          <w:lang w:val="el-GR"/>
        </w:rPr>
        <w:t>(Ο.Χ</w:t>
      </w:r>
      <w:r w:rsidR="00CF29DB" w:rsidRPr="00DC352A">
        <w:rPr>
          <w:color w:val="000000"/>
          <w:lang w:val="el-GR"/>
        </w:rPr>
        <w:t>.</w:t>
      </w:r>
      <w:r w:rsidR="005F4A2C">
        <w:rPr>
          <w:color w:val="000000"/>
          <w:lang w:val="el-GR"/>
        </w:rPr>
        <w:t xml:space="preserve">) ο οποίος ανακοινώθηκε το Δεκέμβριο του 2014, εφόσον αναδειχθούν επιπρόσθετες ανάγκες σε Ε.Υ. σε τομείς της </w:t>
      </w:r>
      <w:r w:rsidR="005F4A2C">
        <w:rPr>
          <w:color w:val="000000"/>
          <w:lang w:val="en-US"/>
        </w:rPr>
        <w:t>RIS</w:t>
      </w:r>
      <w:r w:rsidR="005F4A2C">
        <w:rPr>
          <w:color w:val="000000"/>
          <w:lang w:val="el-GR"/>
        </w:rPr>
        <w:t xml:space="preserve">3 οι οποίοι δεν καλύπτονται επαρκώς από τον υφιστάμενο Ο.Χ. </w:t>
      </w:r>
    </w:p>
    <w:p w:rsidR="00C422A2" w:rsidRDefault="005F4A2C" w:rsidP="00975922">
      <w:pPr>
        <w:spacing w:after="0" w:line="240" w:lineRule="auto"/>
        <w:jc w:val="both"/>
        <w:rPr>
          <w:rFonts w:eastAsia="Times New Roman" w:cs="Arial"/>
          <w:lang w:val="el-GR"/>
        </w:rPr>
      </w:pPr>
      <w:r>
        <w:rPr>
          <w:color w:val="000000"/>
          <w:lang w:val="el-GR"/>
        </w:rPr>
        <w:t xml:space="preserve">Επισημαίνουμε ότι η υποβολή προτάσεων στο πλαίσιο της παρούσας </w:t>
      </w:r>
      <w:r>
        <w:rPr>
          <w:rStyle w:val="a3"/>
          <w:b w:val="0"/>
          <w:color w:val="000000"/>
          <w:lang w:val="el-GR"/>
        </w:rPr>
        <w:t>πρόσκλησης εκδήλωσης ενδιαφέροντος δεν αποτελεί αίτη</w:t>
      </w:r>
      <w:r w:rsidR="002A38EE">
        <w:rPr>
          <w:rStyle w:val="a3"/>
          <w:b w:val="0"/>
          <w:color w:val="000000"/>
          <w:lang w:val="el-GR"/>
        </w:rPr>
        <w:t>ση</w:t>
      </w:r>
      <w:r>
        <w:rPr>
          <w:rStyle w:val="a3"/>
          <w:b w:val="0"/>
          <w:color w:val="000000"/>
          <w:lang w:val="el-GR"/>
        </w:rPr>
        <w:t xml:space="preserve"> χρηματοδότησης αλλά αποσκοπεί στην </w:t>
      </w:r>
      <w:r w:rsidR="005E2310" w:rsidRPr="005E2310">
        <w:rPr>
          <w:rFonts w:eastAsia="Times New Roman" w:cs="Arial"/>
          <w:lang w:val="el-GR"/>
        </w:rPr>
        <w:t>οριστικοποίηση του Πολυετούς Χρηματοδοτικού Σχεδίου των Ε</w:t>
      </w:r>
      <w:r w:rsidR="009F58CE">
        <w:rPr>
          <w:rFonts w:eastAsia="Times New Roman" w:cs="Arial"/>
          <w:lang w:val="el-GR"/>
        </w:rPr>
        <w:t>Υ</w:t>
      </w:r>
      <w:r w:rsidR="005E2310" w:rsidRPr="005E2310">
        <w:rPr>
          <w:rFonts w:eastAsia="Times New Roman" w:cs="Arial"/>
          <w:lang w:val="el-GR"/>
        </w:rPr>
        <w:t xml:space="preserve">. </w:t>
      </w:r>
      <w:r w:rsidR="007669A0">
        <w:rPr>
          <w:rFonts w:eastAsia="Times New Roman" w:cs="Arial"/>
          <w:lang w:val="el-GR"/>
        </w:rPr>
        <w:t>Ωστόσο</w:t>
      </w:r>
      <w:r w:rsidR="007B7A09">
        <w:rPr>
          <w:rFonts w:eastAsia="Times New Roman" w:cs="Arial"/>
          <w:lang w:val="el-GR"/>
        </w:rPr>
        <w:t>,</w:t>
      </w:r>
      <w:r w:rsidR="007669A0">
        <w:rPr>
          <w:rFonts w:eastAsia="Times New Roman" w:cs="Arial"/>
          <w:lang w:val="el-GR"/>
        </w:rPr>
        <w:t xml:space="preserve"> οι ΕΥ που θα </w:t>
      </w:r>
      <w:r w:rsidR="00422143">
        <w:rPr>
          <w:rFonts w:eastAsia="Times New Roman" w:cs="Arial"/>
          <w:lang w:val="el-GR"/>
        </w:rPr>
        <w:t>συμπεριληφθούν</w:t>
      </w:r>
      <w:r w:rsidR="007669A0">
        <w:rPr>
          <w:rFonts w:eastAsia="Times New Roman" w:cs="Arial"/>
          <w:lang w:val="el-GR"/>
        </w:rPr>
        <w:t xml:space="preserve"> στο τελικό Πολυετές </w:t>
      </w:r>
      <w:r w:rsidR="00422143">
        <w:rPr>
          <w:rFonts w:eastAsia="Times New Roman" w:cs="Arial"/>
          <w:lang w:val="el-GR"/>
        </w:rPr>
        <w:t>Χρηματοδοτικό</w:t>
      </w:r>
      <w:r w:rsidR="007669A0" w:rsidRPr="00DC352A">
        <w:rPr>
          <w:rFonts w:eastAsia="Times New Roman" w:cs="Arial"/>
          <w:lang w:val="el-GR"/>
        </w:rPr>
        <w:t xml:space="preserve"> Σχέδιο</w:t>
      </w:r>
      <w:r w:rsidR="007669A0">
        <w:rPr>
          <w:rFonts w:eastAsia="Times New Roman" w:cs="Arial"/>
          <w:lang w:val="el-GR"/>
        </w:rPr>
        <w:t xml:space="preserve"> θα μπορούν </w:t>
      </w:r>
      <w:r w:rsidR="001A2C96">
        <w:rPr>
          <w:rFonts w:eastAsia="Times New Roman" w:cs="Arial"/>
          <w:lang w:val="el-GR"/>
        </w:rPr>
        <w:t xml:space="preserve">να </w:t>
      </w:r>
      <w:r w:rsidR="00422143">
        <w:rPr>
          <w:rFonts w:eastAsia="Times New Roman" w:cs="Arial"/>
          <w:lang w:val="el-GR"/>
        </w:rPr>
        <w:t>υποβάλουν</w:t>
      </w:r>
      <w:r w:rsidR="007669A0">
        <w:rPr>
          <w:rFonts w:eastAsia="Times New Roman" w:cs="Arial"/>
          <w:lang w:val="el-GR"/>
        </w:rPr>
        <w:t xml:space="preserve"> </w:t>
      </w:r>
      <w:r w:rsidR="00422143">
        <w:rPr>
          <w:rFonts w:eastAsia="Times New Roman" w:cs="Arial"/>
          <w:lang w:val="el-GR"/>
        </w:rPr>
        <w:t>προτάσεις</w:t>
      </w:r>
      <w:r w:rsidR="007669A0">
        <w:rPr>
          <w:rFonts w:eastAsia="Times New Roman" w:cs="Arial"/>
          <w:lang w:val="el-GR"/>
        </w:rPr>
        <w:t xml:space="preserve"> </w:t>
      </w:r>
      <w:r w:rsidR="00422143">
        <w:rPr>
          <w:rFonts w:eastAsia="Times New Roman" w:cs="Arial"/>
          <w:lang w:val="el-GR"/>
        </w:rPr>
        <w:t>χρηματοδότησης</w:t>
      </w:r>
      <w:r w:rsidR="007669A0">
        <w:rPr>
          <w:rFonts w:eastAsia="Times New Roman" w:cs="Arial"/>
          <w:lang w:val="el-GR"/>
        </w:rPr>
        <w:t xml:space="preserve"> σε μελλοντική προκήρυξη στο </w:t>
      </w:r>
      <w:r w:rsidR="00422143">
        <w:rPr>
          <w:rFonts w:eastAsia="Times New Roman" w:cs="Arial"/>
          <w:lang w:val="el-GR"/>
        </w:rPr>
        <w:t>πλαίσιο</w:t>
      </w:r>
      <w:r w:rsidR="007669A0">
        <w:rPr>
          <w:rFonts w:eastAsia="Times New Roman" w:cs="Arial"/>
          <w:lang w:val="el-GR"/>
        </w:rPr>
        <w:t xml:space="preserve"> του Ε.Π. ΕΠΑΝΕΚ. </w:t>
      </w:r>
    </w:p>
    <w:p w:rsidR="005E2310" w:rsidRDefault="00C422A2" w:rsidP="005E2310">
      <w:pPr>
        <w:spacing w:before="120" w:after="0" w:line="240" w:lineRule="auto"/>
        <w:jc w:val="both"/>
        <w:rPr>
          <w:rFonts w:cs="Tahoma"/>
          <w:lang w:val="el-GR"/>
        </w:rPr>
      </w:pPr>
      <w:r>
        <w:rPr>
          <w:rFonts w:eastAsia="Times New Roman" w:cs="Arial"/>
          <w:lang w:val="el-GR"/>
        </w:rPr>
        <w:t>Σ</w:t>
      </w:r>
      <w:r w:rsidR="002A38EE">
        <w:rPr>
          <w:rFonts w:eastAsia="Times New Roman" w:cs="Arial"/>
          <w:lang w:val="el-GR"/>
        </w:rPr>
        <w:t>τ</w:t>
      </w:r>
      <w:r w:rsidR="007669A0">
        <w:rPr>
          <w:rFonts w:eastAsia="Times New Roman" w:cs="Arial"/>
          <w:lang w:val="el-GR"/>
        </w:rPr>
        <w:t>ις</w:t>
      </w:r>
      <w:r>
        <w:rPr>
          <w:rFonts w:eastAsia="Times New Roman" w:cs="Arial"/>
          <w:lang w:val="el-GR"/>
        </w:rPr>
        <w:t xml:space="preserve"> </w:t>
      </w:r>
      <w:r w:rsidR="007669A0">
        <w:rPr>
          <w:rFonts w:eastAsia="Times New Roman" w:cs="Arial"/>
          <w:lang w:val="el-GR"/>
        </w:rPr>
        <w:t>προτάσεις</w:t>
      </w:r>
      <w:r>
        <w:rPr>
          <w:rFonts w:eastAsia="Times New Roman" w:cs="Arial"/>
          <w:lang w:val="el-GR"/>
        </w:rPr>
        <w:t xml:space="preserve"> που θα υποβληθούν</w:t>
      </w:r>
      <w:r w:rsidR="00422143">
        <w:rPr>
          <w:rFonts w:eastAsia="Times New Roman" w:cs="Arial"/>
          <w:lang w:val="el-GR"/>
        </w:rPr>
        <w:t xml:space="preserve"> στο πλαίσιο της</w:t>
      </w:r>
      <w:r w:rsidR="007669A0">
        <w:rPr>
          <w:rFonts w:eastAsia="Times New Roman" w:cs="Arial"/>
          <w:lang w:val="el-GR"/>
        </w:rPr>
        <w:t xml:space="preserve"> </w:t>
      </w:r>
      <w:r w:rsidR="00422143">
        <w:rPr>
          <w:rFonts w:eastAsia="Times New Roman" w:cs="Arial"/>
          <w:lang w:val="el-GR"/>
        </w:rPr>
        <w:t>παρούσας</w:t>
      </w:r>
      <w:r w:rsidR="007669A0">
        <w:rPr>
          <w:rFonts w:eastAsia="Times New Roman" w:cs="Arial"/>
          <w:lang w:val="el-GR"/>
        </w:rPr>
        <w:t xml:space="preserve"> πρόσκληση</w:t>
      </w:r>
      <w:r w:rsidR="00422143">
        <w:rPr>
          <w:rFonts w:eastAsia="Times New Roman" w:cs="Arial"/>
          <w:lang w:val="el-GR"/>
        </w:rPr>
        <w:t>ς</w:t>
      </w:r>
      <w:r>
        <w:rPr>
          <w:rFonts w:eastAsia="Times New Roman" w:cs="Arial"/>
          <w:lang w:val="el-GR"/>
        </w:rPr>
        <w:t xml:space="preserve"> θα </w:t>
      </w:r>
      <w:r w:rsidR="007669A0">
        <w:rPr>
          <w:rFonts w:eastAsia="Times New Roman" w:cs="Arial"/>
          <w:lang w:val="el-GR"/>
        </w:rPr>
        <w:t>πρέπει</w:t>
      </w:r>
      <w:r>
        <w:rPr>
          <w:rFonts w:eastAsia="Times New Roman" w:cs="Arial"/>
          <w:lang w:val="el-GR"/>
        </w:rPr>
        <w:t xml:space="preserve"> να </w:t>
      </w:r>
      <w:r w:rsidR="007669A0">
        <w:rPr>
          <w:rFonts w:eastAsia="Times New Roman" w:cs="Arial"/>
          <w:lang w:val="el-GR"/>
        </w:rPr>
        <w:t>ληφθεί</w:t>
      </w:r>
      <w:r>
        <w:rPr>
          <w:rFonts w:eastAsia="Times New Roman" w:cs="Arial"/>
          <w:lang w:val="el-GR"/>
        </w:rPr>
        <w:t xml:space="preserve"> </w:t>
      </w:r>
      <w:r w:rsidR="007669A0">
        <w:rPr>
          <w:rFonts w:eastAsia="Times New Roman" w:cs="Arial"/>
          <w:lang w:val="el-GR"/>
        </w:rPr>
        <w:t>υπόψη</w:t>
      </w:r>
      <w:r>
        <w:rPr>
          <w:rFonts w:eastAsia="Times New Roman" w:cs="Arial"/>
          <w:lang w:val="el-GR"/>
        </w:rPr>
        <w:t xml:space="preserve"> ότι </w:t>
      </w:r>
      <w:r w:rsidR="007669A0">
        <w:rPr>
          <w:rFonts w:eastAsia="Times New Roman" w:cs="Arial"/>
          <w:lang w:val="el-GR"/>
        </w:rPr>
        <w:t>ο διαθέσιμος προϋπολογισμός για την</w:t>
      </w:r>
      <w:r w:rsidR="002A38EE">
        <w:rPr>
          <w:rFonts w:eastAsia="Times New Roman" w:cs="Arial"/>
          <w:lang w:val="el-GR"/>
        </w:rPr>
        <w:t xml:space="preserve"> </w:t>
      </w:r>
      <w:r w:rsidR="007B7A09">
        <w:rPr>
          <w:rFonts w:eastAsia="Times New Roman" w:cs="Arial"/>
          <w:lang w:val="el-GR"/>
        </w:rPr>
        <w:t xml:space="preserve">μελλοντική </w:t>
      </w:r>
      <w:r w:rsidR="002A38EE">
        <w:rPr>
          <w:rFonts w:eastAsia="Times New Roman" w:cs="Arial"/>
          <w:lang w:val="el-GR"/>
        </w:rPr>
        <w:t xml:space="preserve">χρηματοδότηση της </w:t>
      </w:r>
      <w:r w:rsidR="007669A0">
        <w:rPr>
          <w:rFonts w:eastAsia="Times New Roman" w:cs="Arial"/>
          <w:lang w:val="el-GR"/>
        </w:rPr>
        <w:t>προπαρασκευαστικής</w:t>
      </w:r>
      <w:r>
        <w:rPr>
          <w:rFonts w:eastAsia="Times New Roman" w:cs="Arial"/>
          <w:lang w:val="el-GR"/>
        </w:rPr>
        <w:t xml:space="preserve"> φάση</w:t>
      </w:r>
      <w:r w:rsidR="002A38EE">
        <w:rPr>
          <w:rFonts w:eastAsia="Times New Roman" w:cs="Arial"/>
          <w:lang w:val="el-GR"/>
        </w:rPr>
        <w:t>ς</w:t>
      </w:r>
      <w:r>
        <w:rPr>
          <w:rFonts w:eastAsia="Times New Roman" w:cs="Arial"/>
          <w:lang w:val="el-GR"/>
        </w:rPr>
        <w:t xml:space="preserve"> των ΕΥ</w:t>
      </w:r>
      <w:r w:rsidR="002A38EE">
        <w:rPr>
          <w:rFonts w:eastAsia="Times New Roman" w:cs="Arial"/>
          <w:lang w:val="el-GR"/>
        </w:rPr>
        <w:t xml:space="preserve"> από το </w:t>
      </w:r>
      <w:r w:rsidR="007669A0" w:rsidRPr="00B24AD4">
        <w:rPr>
          <w:color w:val="000000"/>
          <w:lang w:val="el-GR"/>
        </w:rPr>
        <w:t>Ε.Π. ΕΠΑΝΕΚ</w:t>
      </w:r>
      <w:r w:rsidR="00422143">
        <w:rPr>
          <w:color w:val="000000"/>
          <w:lang w:val="el-GR"/>
        </w:rPr>
        <w:t>,</w:t>
      </w:r>
      <w:r>
        <w:rPr>
          <w:rFonts w:eastAsia="Times New Roman" w:cs="Arial"/>
          <w:lang w:val="el-GR"/>
        </w:rPr>
        <w:t xml:space="preserve"> </w:t>
      </w:r>
      <w:r w:rsidR="007669A0">
        <w:rPr>
          <w:rFonts w:eastAsia="Times New Roman" w:cs="Arial"/>
          <w:lang w:val="el-GR"/>
        </w:rPr>
        <w:t xml:space="preserve">επιτρέπει την </w:t>
      </w:r>
      <w:r w:rsidR="00422143">
        <w:rPr>
          <w:rFonts w:eastAsia="Times New Roman" w:cs="Arial"/>
          <w:lang w:val="el-GR"/>
        </w:rPr>
        <w:t xml:space="preserve">χρηματοδότηση ΕΥ με </w:t>
      </w:r>
      <w:r w:rsidR="00422143">
        <w:rPr>
          <w:rFonts w:cs="Tahoma"/>
          <w:lang w:val="el-GR"/>
        </w:rPr>
        <w:t>μέγιστο προϋπολογισμό</w:t>
      </w:r>
      <w:r w:rsidR="00422143" w:rsidRPr="00DC352A">
        <w:rPr>
          <w:rFonts w:cs="Tahoma"/>
          <w:lang w:val="el-GR"/>
        </w:rPr>
        <w:t xml:space="preserve"> </w:t>
      </w:r>
      <w:r w:rsidR="00422143">
        <w:rPr>
          <w:rFonts w:cs="Tahoma"/>
          <w:lang w:val="el-GR"/>
        </w:rPr>
        <w:t>3.000.</w:t>
      </w:r>
      <w:r w:rsidR="00422143" w:rsidRPr="00DC352A">
        <w:rPr>
          <w:rFonts w:cs="Tahoma"/>
          <w:lang w:val="el-GR"/>
        </w:rPr>
        <w:t>000</w:t>
      </w:r>
      <w:r w:rsidR="00422143">
        <w:rPr>
          <w:rFonts w:cs="Tahoma"/>
          <w:lang w:val="el-GR"/>
        </w:rPr>
        <w:t xml:space="preserve"> €</w:t>
      </w:r>
      <w:r w:rsidR="00F4639F">
        <w:rPr>
          <w:rFonts w:cs="Tahoma"/>
          <w:lang w:val="el-GR"/>
        </w:rPr>
        <w:t xml:space="preserve"> ανά πρόταση</w:t>
      </w:r>
      <w:r w:rsidR="00422143">
        <w:rPr>
          <w:rFonts w:cs="Tahoma"/>
          <w:lang w:val="el-GR"/>
        </w:rPr>
        <w:t>.</w:t>
      </w:r>
      <w:r w:rsidR="00422143">
        <w:rPr>
          <w:rFonts w:eastAsia="Times New Roman" w:cs="Arial"/>
          <w:lang w:val="el-GR"/>
        </w:rPr>
        <w:t xml:space="preserve"> </w:t>
      </w:r>
      <w:r w:rsidR="005E2310" w:rsidRPr="005E2310">
        <w:rPr>
          <w:rFonts w:cs="Tahoma"/>
          <w:lang w:val="el-GR"/>
        </w:rPr>
        <w:t xml:space="preserve">Σε εξαιρετικές περιπτώσεις υποδομών με υψηλό βαθμό ωριμότητας και με σημαντική διεθνή δικτύωση και δεσμεύσεις σε Ευρωπαϊκό </w:t>
      </w:r>
      <w:r w:rsidR="001A2C96">
        <w:rPr>
          <w:rFonts w:cs="Tahoma"/>
          <w:lang w:val="el-GR"/>
        </w:rPr>
        <w:t>ή/</w:t>
      </w:r>
      <w:r w:rsidR="005E2310" w:rsidRPr="005E2310">
        <w:rPr>
          <w:rFonts w:cs="Tahoma"/>
          <w:lang w:val="el-GR"/>
        </w:rPr>
        <w:t>και διεθνές επίπεδο</w:t>
      </w:r>
      <w:r w:rsidR="001A2C96">
        <w:rPr>
          <w:rFonts w:cs="Tahoma"/>
          <w:lang w:val="el-GR"/>
        </w:rPr>
        <w:t>,</w:t>
      </w:r>
      <w:r w:rsidR="005E2310" w:rsidRPr="005E2310">
        <w:rPr>
          <w:rFonts w:cs="Tahoma"/>
          <w:lang w:val="el-GR"/>
        </w:rPr>
        <w:t xml:space="preserve"> η χρηματοδότηση δύναται να ανέλθει σε 5</w:t>
      </w:r>
      <w:r w:rsidR="00422143">
        <w:rPr>
          <w:rFonts w:cs="Tahoma"/>
          <w:lang w:val="el-GR"/>
        </w:rPr>
        <w:t>.</w:t>
      </w:r>
      <w:r w:rsidR="005E2310" w:rsidRPr="005E2310">
        <w:rPr>
          <w:rFonts w:cs="Tahoma"/>
          <w:lang w:val="el-GR"/>
        </w:rPr>
        <w:t>000</w:t>
      </w:r>
      <w:r w:rsidR="00422143">
        <w:rPr>
          <w:rFonts w:cs="Tahoma"/>
          <w:lang w:val="el-GR"/>
        </w:rPr>
        <w:t>.</w:t>
      </w:r>
      <w:r w:rsidR="005E2310" w:rsidRPr="005E2310">
        <w:rPr>
          <w:rFonts w:cs="Tahoma"/>
          <w:lang w:val="el-GR"/>
        </w:rPr>
        <w:t xml:space="preserve">000 €. </w:t>
      </w:r>
    </w:p>
    <w:p w:rsidR="00CF29DB" w:rsidRPr="002775DC" w:rsidRDefault="005E2310" w:rsidP="00A45CF2">
      <w:pPr>
        <w:pStyle w:val="bodytext"/>
        <w:outlineLvl w:val="2"/>
        <w:rPr>
          <w:rFonts w:asciiTheme="minorHAnsi" w:hAnsiTheme="minorHAnsi" w:cs="Arial"/>
          <w:b/>
          <w:sz w:val="22"/>
          <w:szCs w:val="22"/>
          <w:u w:val="single"/>
          <w:lang w:val="el-GR"/>
        </w:rPr>
      </w:pPr>
      <w:r w:rsidRPr="005E2310">
        <w:rPr>
          <w:rFonts w:asciiTheme="minorHAnsi" w:hAnsiTheme="minorHAnsi" w:cs="Arial"/>
          <w:b/>
          <w:sz w:val="22"/>
          <w:szCs w:val="22"/>
          <w:u w:val="single"/>
          <w:lang w:val="el-GR"/>
        </w:rPr>
        <w:t>Δικαίωμα συμμετοχής</w:t>
      </w:r>
    </w:p>
    <w:p w:rsidR="00CF29DB" w:rsidRPr="00DC352A" w:rsidRDefault="005E2310" w:rsidP="00A45CF2">
      <w:pPr>
        <w:pStyle w:val="bodytext"/>
        <w:outlineLvl w:val="2"/>
        <w:rPr>
          <w:rFonts w:asciiTheme="minorHAnsi" w:hAnsiTheme="minorHAnsi"/>
          <w:color w:val="000000"/>
          <w:sz w:val="22"/>
          <w:szCs w:val="22"/>
          <w:lang w:val="el-GR"/>
        </w:rPr>
      </w:pPr>
      <w:r w:rsidRPr="005E2310">
        <w:rPr>
          <w:rFonts w:asciiTheme="minorHAnsi" w:hAnsiTheme="minorHAnsi"/>
          <w:color w:val="000000"/>
          <w:sz w:val="22"/>
          <w:szCs w:val="22"/>
          <w:lang w:val="el-GR"/>
        </w:rPr>
        <w:t>Δικαίωμα συμμετοχής έχουν οι παρακάτω:</w:t>
      </w:r>
    </w:p>
    <w:p w:rsidR="005E2310" w:rsidRPr="005E2310" w:rsidRDefault="005E2310" w:rsidP="005E2310">
      <w:pPr>
        <w:pStyle w:val="bodytext"/>
        <w:ind w:left="720" w:hanging="720"/>
        <w:jc w:val="both"/>
        <w:outlineLvl w:val="2"/>
        <w:rPr>
          <w:rFonts w:asciiTheme="minorHAnsi" w:hAnsiTheme="minorHAnsi"/>
          <w:color w:val="000000"/>
          <w:sz w:val="22"/>
          <w:szCs w:val="22"/>
          <w:lang w:val="el-GR"/>
        </w:rPr>
      </w:pPr>
      <w:r w:rsidRPr="005E2310">
        <w:rPr>
          <w:rFonts w:asciiTheme="minorHAnsi" w:hAnsiTheme="minorHAnsi"/>
          <w:color w:val="000000"/>
          <w:sz w:val="22"/>
          <w:szCs w:val="22"/>
          <w:lang w:val="el-GR"/>
        </w:rPr>
        <w:t>Α)</w:t>
      </w:r>
      <w:r w:rsidRPr="005E2310">
        <w:rPr>
          <w:rFonts w:asciiTheme="minorHAnsi" w:hAnsiTheme="minorHAnsi"/>
          <w:color w:val="000000"/>
          <w:sz w:val="22"/>
          <w:szCs w:val="22"/>
          <w:lang w:val="el-GR"/>
        </w:rPr>
        <w:tab/>
        <w:t xml:space="preserve">Ε.Υ. οι οποίες </w:t>
      </w:r>
      <w:r w:rsidR="003955C6">
        <w:rPr>
          <w:rFonts w:asciiTheme="minorHAnsi" w:hAnsiTheme="minorHAnsi"/>
          <w:color w:val="000000"/>
          <w:sz w:val="22"/>
          <w:szCs w:val="22"/>
          <w:lang w:val="el-GR"/>
        </w:rPr>
        <w:t>έχουν ενταχθεί</w:t>
      </w:r>
      <w:r w:rsidRPr="005E2310">
        <w:rPr>
          <w:rFonts w:asciiTheme="minorHAnsi" w:hAnsiTheme="minorHAnsi"/>
          <w:color w:val="000000"/>
          <w:sz w:val="22"/>
          <w:szCs w:val="22"/>
          <w:lang w:val="el-GR"/>
        </w:rPr>
        <w:t xml:space="preserve"> στην κύρια λίστα του υφιστάμενου Οδικού Χάρτη αλλά δεν ήταν επιλέξιμες για χρηματοδότηση στο πλαίσιο της επικείμενης προκήρυξης</w:t>
      </w:r>
      <w:r w:rsidR="00422143">
        <w:rPr>
          <w:rFonts w:asciiTheme="minorHAnsi" w:hAnsiTheme="minorHAnsi"/>
          <w:color w:val="000000"/>
          <w:sz w:val="22"/>
          <w:szCs w:val="22"/>
          <w:lang w:val="el-GR"/>
        </w:rPr>
        <w:t xml:space="preserve"> </w:t>
      </w:r>
      <w:r w:rsidR="009F58CE">
        <w:rPr>
          <w:rFonts w:asciiTheme="minorHAnsi" w:hAnsiTheme="minorHAnsi"/>
          <w:color w:val="000000"/>
          <w:sz w:val="22"/>
          <w:szCs w:val="22"/>
          <w:lang w:val="el-GR"/>
        </w:rPr>
        <w:t>«</w:t>
      </w:r>
      <w:r w:rsidR="00422143" w:rsidRPr="00422143">
        <w:rPr>
          <w:rFonts w:asciiTheme="minorHAnsi" w:hAnsiTheme="minorHAnsi"/>
          <w:color w:val="000000"/>
          <w:sz w:val="22"/>
          <w:szCs w:val="22"/>
          <w:lang w:val="el-GR"/>
        </w:rPr>
        <w:t>Ενίσχυση ερευνητικών δραστηριοτήτων υποδομών ΕΤΑΚ εθνικής εμβέλειας με βάση τις προτεραιότητες  του Οδικού Χάρτη Ερευνητικών Υποδομών   και της Εθνικής Στρατηγικής Έξυπνης Εξειδίκευσης</w:t>
      </w:r>
      <w:r w:rsidR="009F58CE">
        <w:rPr>
          <w:rFonts w:asciiTheme="minorHAnsi" w:hAnsiTheme="minorHAnsi"/>
          <w:color w:val="000000"/>
          <w:sz w:val="22"/>
          <w:szCs w:val="22"/>
          <w:lang w:val="el-GR"/>
        </w:rPr>
        <w:t>»</w:t>
      </w:r>
      <w:r w:rsidR="00422143">
        <w:rPr>
          <w:rFonts w:asciiTheme="minorHAnsi" w:hAnsiTheme="minorHAnsi"/>
          <w:color w:val="000000"/>
          <w:sz w:val="22"/>
          <w:szCs w:val="22"/>
          <w:lang w:val="el-GR"/>
        </w:rPr>
        <w:t>.</w:t>
      </w:r>
    </w:p>
    <w:p w:rsidR="005E2310" w:rsidRPr="005E2310" w:rsidRDefault="005E2310" w:rsidP="005E2310">
      <w:pPr>
        <w:pStyle w:val="bodytext"/>
        <w:ind w:left="720" w:hanging="720"/>
        <w:jc w:val="both"/>
        <w:outlineLvl w:val="2"/>
        <w:rPr>
          <w:rFonts w:asciiTheme="minorHAnsi" w:hAnsiTheme="minorHAnsi"/>
          <w:color w:val="000000"/>
          <w:sz w:val="22"/>
          <w:szCs w:val="22"/>
          <w:lang w:val="el-GR"/>
        </w:rPr>
      </w:pPr>
      <w:r w:rsidRPr="005E2310">
        <w:rPr>
          <w:rFonts w:asciiTheme="minorHAnsi" w:hAnsiTheme="minorHAnsi"/>
          <w:color w:val="000000"/>
          <w:sz w:val="22"/>
          <w:szCs w:val="22"/>
          <w:lang w:val="el-GR"/>
        </w:rPr>
        <w:t>Β)</w:t>
      </w:r>
      <w:r w:rsidRPr="005E2310">
        <w:rPr>
          <w:rFonts w:asciiTheme="minorHAnsi" w:hAnsiTheme="minorHAnsi"/>
          <w:color w:val="000000"/>
          <w:sz w:val="22"/>
          <w:szCs w:val="22"/>
          <w:lang w:val="el-GR"/>
        </w:rPr>
        <w:tab/>
        <w:t xml:space="preserve">Ε.Υ. οι οποίες </w:t>
      </w:r>
      <w:r w:rsidR="003955C6">
        <w:rPr>
          <w:rFonts w:asciiTheme="minorHAnsi" w:hAnsiTheme="minorHAnsi"/>
          <w:color w:val="000000"/>
          <w:sz w:val="22"/>
          <w:szCs w:val="22"/>
          <w:lang w:val="el-GR"/>
        </w:rPr>
        <w:t>έχουν ενταχθεί</w:t>
      </w:r>
      <w:r w:rsidRPr="005E2310">
        <w:rPr>
          <w:rFonts w:asciiTheme="minorHAnsi" w:hAnsiTheme="minorHAnsi"/>
          <w:color w:val="000000"/>
          <w:sz w:val="22"/>
          <w:szCs w:val="22"/>
          <w:lang w:val="el-GR"/>
        </w:rPr>
        <w:t xml:space="preserve"> στην δευτερεύουσα λίστα</w:t>
      </w:r>
      <w:r w:rsidR="00422143">
        <w:rPr>
          <w:rFonts w:asciiTheme="minorHAnsi" w:hAnsiTheme="minorHAnsi"/>
          <w:color w:val="000000"/>
          <w:sz w:val="22"/>
          <w:szCs w:val="22"/>
          <w:lang w:val="el-GR"/>
        </w:rPr>
        <w:t xml:space="preserve"> (</w:t>
      </w:r>
      <w:r w:rsidR="00422143">
        <w:rPr>
          <w:rFonts w:asciiTheme="minorHAnsi" w:hAnsiTheme="minorHAnsi"/>
          <w:color w:val="000000"/>
          <w:sz w:val="22"/>
          <w:szCs w:val="22"/>
          <w:lang w:val="en-US"/>
        </w:rPr>
        <w:t>reserve</w:t>
      </w:r>
      <w:r w:rsidRPr="005E2310">
        <w:rPr>
          <w:rFonts w:asciiTheme="minorHAnsi" w:hAnsiTheme="minorHAnsi"/>
          <w:color w:val="000000"/>
          <w:sz w:val="22"/>
          <w:szCs w:val="22"/>
          <w:lang w:val="el-GR"/>
        </w:rPr>
        <w:t xml:space="preserve"> </w:t>
      </w:r>
      <w:r w:rsidR="00422143">
        <w:rPr>
          <w:rFonts w:asciiTheme="minorHAnsi" w:hAnsiTheme="minorHAnsi"/>
          <w:color w:val="000000"/>
          <w:sz w:val="22"/>
          <w:szCs w:val="22"/>
          <w:lang w:val="en-US"/>
        </w:rPr>
        <w:t>list</w:t>
      </w:r>
      <w:r w:rsidRPr="005E2310">
        <w:rPr>
          <w:rFonts w:asciiTheme="minorHAnsi" w:hAnsiTheme="minorHAnsi"/>
          <w:color w:val="000000"/>
          <w:sz w:val="22"/>
          <w:szCs w:val="22"/>
          <w:lang w:val="el-GR"/>
        </w:rPr>
        <w:t>) του υφιστάμενου Οδικού Χάρτη.</w:t>
      </w:r>
    </w:p>
    <w:p w:rsidR="005E2310" w:rsidRPr="005E2310" w:rsidRDefault="005E2310" w:rsidP="005E2310">
      <w:pPr>
        <w:pStyle w:val="bodytext"/>
        <w:spacing w:before="0" w:beforeAutospacing="0" w:after="0" w:afterAutospacing="0"/>
        <w:ind w:left="720" w:hanging="720"/>
        <w:jc w:val="both"/>
        <w:outlineLvl w:val="2"/>
        <w:rPr>
          <w:rFonts w:asciiTheme="minorHAnsi" w:hAnsiTheme="minorHAnsi"/>
          <w:color w:val="000000"/>
          <w:sz w:val="22"/>
          <w:szCs w:val="22"/>
          <w:lang w:val="el-GR"/>
        </w:rPr>
      </w:pPr>
      <w:r w:rsidRPr="005E2310">
        <w:rPr>
          <w:rFonts w:asciiTheme="minorHAnsi" w:hAnsiTheme="minorHAnsi"/>
          <w:color w:val="000000"/>
          <w:sz w:val="22"/>
          <w:szCs w:val="22"/>
          <w:lang w:val="el-GR"/>
        </w:rPr>
        <w:t>Γ)</w:t>
      </w:r>
      <w:r w:rsidRPr="005E2310">
        <w:rPr>
          <w:rFonts w:asciiTheme="minorHAnsi" w:hAnsiTheme="minorHAnsi"/>
          <w:color w:val="000000"/>
          <w:sz w:val="22"/>
          <w:szCs w:val="22"/>
          <w:lang w:val="el-GR"/>
        </w:rPr>
        <w:tab/>
        <w:t xml:space="preserve">Προτεινόμενες </w:t>
      </w:r>
      <w:r w:rsidR="00366693">
        <w:rPr>
          <w:rFonts w:asciiTheme="minorHAnsi" w:hAnsiTheme="minorHAnsi"/>
          <w:color w:val="000000"/>
          <w:sz w:val="22"/>
          <w:szCs w:val="22"/>
          <w:lang w:val="el-GR"/>
        </w:rPr>
        <w:t xml:space="preserve">νέες </w:t>
      </w:r>
      <w:r w:rsidRPr="005E2310">
        <w:rPr>
          <w:rFonts w:asciiTheme="minorHAnsi" w:hAnsiTheme="minorHAnsi"/>
          <w:color w:val="000000"/>
          <w:sz w:val="22"/>
          <w:szCs w:val="22"/>
          <w:lang w:val="el-GR"/>
        </w:rPr>
        <w:t>Ε</w:t>
      </w:r>
      <w:r w:rsidR="001A2C96">
        <w:rPr>
          <w:rFonts w:asciiTheme="minorHAnsi" w:hAnsiTheme="minorHAnsi"/>
          <w:color w:val="000000"/>
          <w:sz w:val="22"/>
          <w:szCs w:val="22"/>
          <w:lang w:val="el-GR"/>
        </w:rPr>
        <w:t>.</w:t>
      </w:r>
      <w:r w:rsidRPr="005E2310">
        <w:rPr>
          <w:rFonts w:asciiTheme="minorHAnsi" w:hAnsiTheme="minorHAnsi"/>
          <w:color w:val="000000"/>
          <w:sz w:val="22"/>
          <w:szCs w:val="22"/>
          <w:lang w:val="el-GR"/>
        </w:rPr>
        <w:t>Υ</w:t>
      </w:r>
      <w:r w:rsidR="001A2C96">
        <w:rPr>
          <w:rFonts w:asciiTheme="minorHAnsi" w:hAnsiTheme="minorHAnsi"/>
          <w:color w:val="000000"/>
          <w:sz w:val="22"/>
          <w:szCs w:val="22"/>
          <w:lang w:val="el-GR"/>
        </w:rPr>
        <w:t>.</w:t>
      </w:r>
      <w:r w:rsidRPr="005E2310">
        <w:rPr>
          <w:rFonts w:asciiTheme="minorHAnsi" w:hAnsiTheme="minorHAnsi"/>
          <w:color w:val="000000"/>
          <w:sz w:val="22"/>
          <w:szCs w:val="22"/>
          <w:lang w:val="el-GR"/>
        </w:rPr>
        <w:t xml:space="preserve"> στις ακόλουθες θεματικές προτεραιότητες: </w:t>
      </w:r>
    </w:p>
    <w:p w:rsidR="005E2310" w:rsidRPr="005E2310" w:rsidRDefault="005E2310" w:rsidP="005E2310">
      <w:pPr>
        <w:pStyle w:val="bodytext"/>
        <w:numPr>
          <w:ilvl w:val="0"/>
          <w:numId w:val="26"/>
        </w:numPr>
        <w:spacing w:before="0" w:beforeAutospacing="0" w:after="0" w:afterAutospacing="0"/>
        <w:jc w:val="both"/>
        <w:outlineLvl w:val="2"/>
        <w:rPr>
          <w:rFonts w:asciiTheme="minorHAnsi" w:hAnsiTheme="minorHAnsi"/>
          <w:color w:val="000000"/>
          <w:sz w:val="22"/>
          <w:szCs w:val="22"/>
          <w:lang w:val="el-GR"/>
        </w:rPr>
      </w:pPr>
      <w:r w:rsidRPr="005E2310">
        <w:rPr>
          <w:rFonts w:asciiTheme="minorHAnsi" w:hAnsiTheme="minorHAnsi"/>
          <w:color w:val="000000"/>
          <w:sz w:val="22"/>
          <w:szCs w:val="22"/>
          <w:lang w:val="el-GR"/>
        </w:rPr>
        <w:t>Αγροδιατροφή</w:t>
      </w:r>
    </w:p>
    <w:p w:rsidR="005E2310" w:rsidRPr="005E2310" w:rsidRDefault="005E2310" w:rsidP="005E2310">
      <w:pPr>
        <w:pStyle w:val="bodytext"/>
        <w:numPr>
          <w:ilvl w:val="0"/>
          <w:numId w:val="26"/>
        </w:numPr>
        <w:spacing w:before="0" w:beforeAutospacing="0" w:after="0" w:afterAutospacing="0"/>
        <w:jc w:val="both"/>
        <w:outlineLvl w:val="2"/>
        <w:rPr>
          <w:rFonts w:asciiTheme="minorHAnsi" w:hAnsiTheme="minorHAnsi"/>
          <w:color w:val="000000"/>
          <w:sz w:val="22"/>
          <w:szCs w:val="22"/>
          <w:lang w:val="el-GR"/>
        </w:rPr>
      </w:pPr>
      <w:r w:rsidRPr="005E2310">
        <w:rPr>
          <w:rFonts w:asciiTheme="minorHAnsi" w:hAnsiTheme="minorHAnsi"/>
          <w:color w:val="000000"/>
          <w:sz w:val="22"/>
          <w:szCs w:val="22"/>
          <w:lang w:val="el-GR"/>
        </w:rPr>
        <w:t>Μεταφορές και Εφοδιαστική Αλυσίδα</w:t>
      </w:r>
    </w:p>
    <w:p w:rsidR="005E2310" w:rsidRPr="005E2310" w:rsidRDefault="005E2310" w:rsidP="005E2310">
      <w:pPr>
        <w:pStyle w:val="bodytext"/>
        <w:numPr>
          <w:ilvl w:val="0"/>
          <w:numId w:val="26"/>
        </w:numPr>
        <w:spacing w:before="0" w:beforeAutospacing="0" w:after="0" w:afterAutospacing="0"/>
        <w:jc w:val="both"/>
        <w:outlineLvl w:val="2"/>
        <w:rPr>
          <w:rFonts w:asciiTheme="minorHAnsi" w:hAnsiTheme="minorHAnsi"/>
          <w:color w:val="000000"/>
          <w:sz w:val="22"/>
          <w:szCs w:val="22"/>
          <w:lang w:val="el-GR"/>
        </w:rPr>
      </w:pPr>
      <w:r w:rsidRPr="005E2310">
        <w:rPr>
          <w:rFonts w:asciiTheme="minorHAnsi" w:hAnsiTheme="minorHAnsi"/>
          <w:color w:val="000000"/>
          <w:sz w:val="22"/>
          <w:szCs w:val="22"/>
          <w:lang w:val="el-GR"/>
        </w:rPr>
        <w:t>Τουρισμός</w:t>
      </w:r>
    </w:p>
    <w:p w:rsidR="00A45CF2" w:rsidRPr="007B7A09" w:rsidRDefault="005E2310" w:rsidP="00A45CF2">
      <w:pPr>
        <w:jc w:val="both"/>
        <w:rPr>
          <w:color w:val="000000"/>
          <w:lang w:val="el-GR"/>
        </w:rPr>
      </w:pPr>
      <w:r w:rsidRPr="005E2310">
        <w:rPr>
          <w:color w:val="000000"/>
          <w:lang w:val="el-GR"/>
        </w:rPr>
        <w:t xml:space="preserve">Για τις επικαιροποιημένες προτάσεις των περιπτώσεων Α) και Β) θα πρέπει να τεκμηριώνεται η πλήρης ευθυγράμμιση με έναν, κατ’ ελάχιστο, από τους 8 τομείς της </w:t>
      </w:r>
      <w:r w:rsidRPr="005E2310">
        <w:rPr>
          <w:color w:val="000000"/>
          <w:lang w:val="en-US"/>
        </w:rPr>
        <w:t>RIS</w:t>
      </w:r>
      <w:r w:rsidRPr="005E2310">
        <w:rPr>
          <w:color w:val="000000"/>
          <w:lang w:val="el-GR"/>
        </w:rPr>
        <w:t xml:space="preserve">3 </w:t>
      </w:r>
      <w:r w:rsidRPr="005E2310">
        <w:rPr>
          <w:rFonts w:eastAsia="Times New Roman" w:cs="Arial"/>
          <w:lang w:val="el-GR"/>
        </w:rPr>
        <w:t>(Υγεία &amp; Φάρμακα, Αγροδιατροφή, Τεχνολογίες Πληροφορικής &amp; Επικοινωνιών, Περιβάλλον &amp; Βιώσιμη Ανάπτυξη, Ενέργεια, Υλικά &amp; Κατασκευές, Μεταφορές &amp; Εφοδιαστική Αλυσίδα και Πολιτισμός – Τουρισμός – Δημιουργική Βιομηχανία), όπως αναλύονται στο Παράρτημα 2 της Στρατηγικής ΕΤΑΚ για την Έξυπνη Εξειδίκευση (</w:t>
      </w:r>
      <w:r w:rsidRPr="005E2310">
        <w:rPr>
          <w:rFonts w:eastAsia="Times New Roman" w:cs="Arial"/>
          <w:lang w:val="en-US"/>
        </w:rPr>
        <w:t>RIS</w:t>
      </w:r>
      <w:r w:rsidRPr="005E2310">
        <w:rPr>
          <w:rFonts w:eastAsia="Times New Roman" w:cs="Arial"/>
          <w:lang w:val="el-GR"/>
        </w:rPr>
        <w:t>3).</w:t>
      </w:r>
      <w:r w:rsidRPr="005E2310">
        <w:rPr>
          <w:color w:val="000000"/>
          <w:lang w:val="el-GR"/>
        </w:rPr>
        <w:t xml:space="preserve"> </w:t>
      </w:r>
    </w:p>
    <w:p w:rsidR="00422143" w:rsidRPr="00422143" w:rsidRDefault="00422143" w:rsidP="00A45CF2">
      <w:pPr>
        <w:jc w:val="both"/>
        <w:rPr>
          <w:color w:val="000000"/>
          <w:lang w:val="el-GR"/>
        </w:rPr>
      </w:pPr>
      <w:r w:rsidRPr="00DC352A">
        <w:rPr>
          <w:color w:val="000000"/>
          <w:lang w:val="el-GR"/>
        </w:rPr>
        <w:t xml:space="preserve">Για τις προτάσεις </w:t>
      </w:r>
      <w:r>
        <w:rPr>
          <w:color w:val="000000"/>
          <w:lang w:val="el-GR"/>
        </w:rPr>
        <w:t>της</w:t>
      </w:r>
      <w:r w:rsidRPr="00DC352A">
        <w:rPr>
          <w:color w:val="000000"/>
          <w:lang w:val="el-GR"/>
        </w:rPr>
        <w:t xml:space="preserve"> περίπτωσ</w:t>
      </w:r>
      <w:r>
        <w:rPr>
          <w:color w:val="000000"/>
          <w:lang w:val="el-GR"/>
        </w:rPr>
        <w:t xml:space="preserve">ης Γ) </w:t>
      </w:r>
      <w:r w:rsidRPr="002775DC">
        <w:rPr>
          <w:color w:val="000000"/>
          <w:lang w:val="el-GR"/>
        </w:rPr>
        <w:t>η πρόσκληση είναι ανοιχτή σε όλους τους ενδιαφερόμενους</w:t>
      </w:r>
      <w:r>
        <w:rPr>
          <w:color w:val="000000"/>
          <w:lang w:val="el-GR"/>
        </w:rPr>
        <w:t>.</w:t>
      </w:r>
    </w:p>
    <w:p w:rsidR="00A47EA0" w:rsidRPr="00DC352A" w:rsidRDefault="005E2310" w:rsidP="00A47EA0">
      <w:pPr>
        <w:tabs>
          <w:tab w:val="left" w:pos="459"/>
          <w:tab w:val="left" w:pos="8192"/>
        </w:tabs>
        <w:spacing w:line="240" w:lineRule="atLeast"/>
        <w:jc w:val="both"/>
        <w:rPr>
          <w:color w:val="000000"/>
          <w:lang w:val="el-GR"/>
        </w:rPr>
      </w:pPr>
      <w:r w:rsidRPr="005E2310">
        <w:rPr>
          <w:color w:val="000000"/>
          <w:lang w:val="el-GR"/>
        </w:rPr>
        <w:t xml:space="preserve">Με την παρούσα πρόσκληση καλούνται οι </w:t>
      </w:r>
      <w:r w:rsidR="003955C6">
        <w:rPr>
          <w:color w:val="000000"/>
          <w:lang w:val="el-GR"/>
        </w:rPr>
        <w:t>δυνητικοί</w:t>
      </w:r>
      <w:r w:rsidRPr="005E2310">
        <w:rPr>
          <w:color w:val="000000"/>
          <w:lang w:val="el-GR"/>
        </w:rPr>
        <w:t xml:space="preserve"> δικαιούχοι να υποβάλουν προτάσεις για την προπαρασκευαστική φάση ανάπτυξης, πρώιμα στάδια ή πιλοτική φάση λειτουργίας της υποδομής η οποία θα περιλαμβάνει την εκτέλεση ερευνητικού έργου, βασικής ή εφαρμοσμένης έρευνας, πιθανή αναβάθμιση του εξοπλισμού, εφόσον απαιτείται, καθώς και δραστηριότητες δικτύωσης και ενίσχυσης της πρόσβασης και ικανότητας διακυβέρνησης της υποδομής.  </w:t>
      </w:r>
    </w:p>
    <w:p w:rsidR="00BF4D68" w:rsidRPr="00DC352A" w:rsidRDefault="005E2310" w:rsidP="00A45CF2">
      <w:pPr>
        <w:jc w:val="both"/>
        <w:rPr>
          <w:lang w:val="el-GR"/>
        </w:rPr>
      </w:pPr>
      <w:r w:rsidRPr="005E2310">
        <w:rPr>
          <w:lang w:val="el-GR"/>
        </w:rPr>
        <w:t xml:space="preserve">Η συνάφεια  με τον </w:t>
      </w:r>
      <w:r w:rsidR="005F4A2C" w:rsidRPr="005F4A2C">
        <w:rPr>
          <w:b/>
          <w:i/>
          <w:lang w:val="el-GR"/>
        </w:rPr>
        <w:t>ορισμό</w:t>
      </w:r>
      <w:r w:rsidRPr="005E2310">
        <w:rPr>
          <w:lang w:val="el-GR"/>
        </w:rPr>
        <w:t xml:space="preserve"> των Υποδομών Έρευνας και Καινοτομίας</w:t>
      </w:r>
      <w:r w:rsidRPr="005E2310">
        <w:rPr>
          <w:vertAlign w:val="superscript"/>
          <w:lang w:val="el-GR"/>
        </w:rPr>
        <w:t>1</w:t>
      </w:r>
      <w:r w:rsidRPr="005E2310">
        <w:rPr>
          <w:lang w:val="el-GR"/>
        </w:rPr>
        <w:t xml:space="preserve">,  καθώς και η ευθυγράμμιση με την </w:t>
      </w:r>
      <w:r w:rsidRPr="005E2310">
        <w:rPr>
          <w:lang w:val="en-US"/>
        </w:rPr>
        <w:t>RIS</w:t>
      </w:r>
      <w:r w:rsidRPr="005E2310">
        <w:rPr>
          <w:lang w:val="el-GR"/>
        </w:rPr>
        <w:t xml:space="preserve">3, αποτελούν κριτήρια ένταξης / αποκλεισμού για τις προτάσεις που θα υποβληθούν. </w:t>
      </w:r>
    </w:p>
    <w:p w:rsidR="00A45CF2" w:rsidRPr="00DC352A" w:rsidRDefault="005E2310" w:rsidP="00A45CF2">
      <w:pPr>
        <w:jc w:val="both"/>
        <w:rPr>
          <w:color w:val="FF0000"/>
          <w:lang w:val="el-GR"/>
        </w:rPr>
      </w:pPr>
      <w:r w:rsidRPr="005E2310">
        <w:rPr>
          <w:lang w:val="el-GR"/>
        </w:rPr>
        <w:t xml:space="preserve">Η επιστημονική και τεχνολογική αριστεία, η δημιουργία κρίσιμης μάζας, η συμβολή στην ενίσχυση της καινοτομίας, η υποστήριξη των αναγκών του ιδιωτικού τομέα, καθώς και οι αναμενόμενες οικονομικές, κοινωνικές ή άλλου </w:t>
      </w:r>
      <w:r w:rsidRPr="005E2310">
        <w:rPr>
          <w:lang w:val="el-GR"/>
        </w:rPr>
        <w:lastRenderedPageBreak/>
        <w:t>τύπου επιπτώσεις από την ανάπτυξη της υποδομής αποτελούν βασικά στοιχεία για την επιλογή των προτάσεων. Επιπλέον, ιδιαίτερη βαρύτητα θα δοθεί στα παρακάτω:</w:t>
      </w:r>
      <w:r w:rsidRPr="005E2310">
        <w:rPr>
          <w:color w:val="FF0000"/>
          <w:lang w:val="el-GR"/>
        </w:rPr>
        <w:t xml:space="preserve"> </w:t>
      </w:r>
    </w:p>
    <w:p w:rsidR="005E2310" w:rsidRPr="005E2310" w:rsidRDefault="005E2310" w:rsidP="005E2310">
      <w:pPr>
        <w:pStyle w:val="a4"/>
        <w:numPr>
          <w:ilvl w:val="0"/>
          <w:numId w:val="23"/>
        </w:numPr>
        <w:jc w:val="both"/>
        <w:rPr>
          <w:lang w:val="el-GR"/>
        </w:rPr>
      </w:pPr>
      <w:r w:rsidRPr="005E2310">
        <w:rPr>
          <w:b/>
          <w:lang w:val="el-GR"/>
        </w:rPr>
        <w:t>Πολιτική και Ποιότητα Πρόσβασης</w:t>
      </w:r>
      <w:r w:rsidRPr="005E2310">
        <w:rPr>
          <w:lang w:val="el-GR"/>
        </w:rPr>
        <w:t xml:space="preserve">. Στις προτάσεις θα πρέπει να περιγράφεται και να τεκμηριώνεται  η προβλεπόμενη πολιτική πρόσβασης των χρηστών και οι διαδικασίες </w:t>
      </w:r>
      <w:r w:rsidR="00DF03CD">
        <w:rPr>
          <w:lang w:val="el-GR"/>
        </w:rPr>
        <w:t>αξιολόγησης</w:t>
      </w:r>
      <w:r w:rsidRPr="005E2310">
        <w:rPr>
          <w:lang w:val="el-GR"/>
        </w:rPr>
        <w:t xml:space="preserve"> των αιτημάτων παροχής πρόσβασης.</w:t>
      </w:r>
    </w:p>
    <w:p w:rsidR="005E2310" w:rsidRPr="005E2310" w:rsidRDefault="005E2310" w:rsidP="005E2310">
      <w:pPr>
        <w:pStyle w:val="a4"/>
        <w:numPr>
          <w:ilvl w:val="0"/>
          <w:numId w:val="23"/>
        </w:numPr>
        <w:jc w:val="both"/>
        <w:rPr>
          <w:lang w:val="el-GR"/>
        </w:rPr>
      </w:pPr>
      <w:r w:rsidRPr="005E2310">
        <w:rPr>
          <w:b/>
          <w:lang w:val="el-GR"/>
        </w:rPr>
        <w:t>Διακυβέρνηση (</w:t>
      </w:r>
      <w:r w:rsidRPr="005E2310">
        <w:rPr>
          <w:b/>
          <w:lang w:val="en-US"/>
        </w:rPr>
        <w:t>Governance</w:t>
      </w:r>
      <w:r w:rsidRPr="005E2310">
        <w:rPr>
          <w:b/>
          <w:lang w:val="el-GR"/>
        </w:rPr>
        <w:t>).</w:t>
      </w:r>
      <w:r w:rsidRPr="005E2310">
        <w:rPr>
          <w:lang w:val="el-GR"/>
        </w:rPr>
        <w:t xml:space="preserve"> Οι προτάσεις θα πρέπει να περιλαμβάνουν ένα σαφές και αποτελεσματικό σχήμα διακυβέρνησης των υποδομών στο οποίο θα περιγράφεται η κατάλληλη οργανωτική δομή και οι απαραίτητες διαδικασίες για την υλοποίηση της πρότασης. Στο σχήμα θα πρέπει  επίσης να προβλέπεται  και  η συμμετοχή του ιδιωτικού τομέα. (π.χ. μέσω της εκπροσώπησης σε </w:t>
      </w:r>
      <w:r w:rsidRPr="005E2310">
        <w:rPr>
          <w:lang w:val="en-US"/>
        </w:rPr>
        <w:t>advisory</w:t>
      </w:r>
      <w:r w:rsidRPr="005E2310">
        <w:rPr>
          <w:lang w:val="el-GR"/>
        </w:rPr>
        <w:t xml:space="preserve"> </w:t>
      </w:r>
      <w:r w:rsidRPr="005E2310">
        <w:rPr>
          <w:lang w:val="en-US"/>
        </w:rPr>
        <w:t>boards</w:t>
      </w:r>
      <w:r w:rsidRPr="005E2310">
        <w:rPr>
          <w:lang w:val="el-GR"/>
        </w:rPr>
        <w:t xml:space="preserve">). </w:t>
      </w:r>
    </w:p>
    <w:p w:rsidR="005E2310" w:rsidRDefault="005E2310" w:rsidP="005E2310">
      <w:pPr>
        <w:pStyle w:val="a4"/>
        <w:numPr>
          <w:ilvl w:val="0"/>
          <w:numId w:val="23"/>
        </w:numPr>
        <w:jc w:val="both"/>
        <w:rPr>
          <w:rFonts w:eastAsia="Times New Roman" w:cs="Arial"/>
          <w:lang w:val="el-GR" w:eastAsia="el-GR"/>
        </w:rPr>
      </w:pPr>
      <w:r w:rsidRPr="005E2310">
        <w:rPr>
          <w:rFonts w:eastAsia="Times New Roman" w:cs="Arial"/>
          <w:b/>
          <w:lang w:val="el-GR" w:eastAsia="el-GR"/>
        </w:rPr>
        <w:t>Εξωστρέφεια/ Διεθνείς διασυνδέσεις</w:t>
      </w:r>
      <w:r w:rsidR="001A2C96">
        <w:rPr>
          <w:rFonts w:eastAsia="Times New Roman" w:cs="Arial"/>
          <w:b/>
          <w:lang w:val="el-GR" w:eastAsia="el-GR"/>
        </w:rPr>
        <w:t>.</w:t>
      </w:r>
      <w:r w:rsidRPr="005E2310">
        <w:rPr>
          <w:rFonts w:eastAsia="Times New Roman" w:cs="Arial"/>
          <w:lang w:val="el-GR" w:eastAsia="el-GR"/>
        </w:rPr>
        <w:t xml:space="preserve"> Η υποδομή θα πρέπει αποδεικνύει μια δυναμική εξέλιξης σε διεθνώς αναγνωρίσιμη εγκατάσταση διεξαγωγής έρευνας υψηλής ποιότητας, ικανής να προσελκύει χρήστες από την ευρύτερη περιοχή και το εξωτερικό.  </w:t>
      </w:r>
    </w:p>
    <w:p w:rsidR="003B5266" w:rsidRPr="003B5266" w:rsidRDefault="005F4A2C">
      <w:pPr>
        <w:pStyle w:val="a4"/>
        <w:numPr>
          <w:ilvl w:val="0"/>
          <w:numId w:val="23"/>
        </w:numPr>
        <w:jc w:val="both"/>
        <w:rPr>
          <w:lang w:val="el-GR"/>
        </w:rPr>
      </w:pPr>
      <w:r w:rsidRPr="001A2C96">
        <w:rPr>
          <w:rFonts w:eastAsia="Times New Roman" w:cs="Arial"/>
          <w:b/>
          <w:lang w:val="el-GR" w:eastAsia="el-GR"/>
        </w:rPr>
        <w:t>Βιωσιμότητα</w:t>
      </w:r>
      <w:r w:rsidR="001A2C96" w:rsidRPr="001A2C96">
        <w:rPr>
          <w:rFonts w:eastAsia="Times New Roman" w:cs="Arial"/>
          <w:lang w:val="el-GR" w:eastAsia="el-GR"/>
        </w:rPr>
        <w:t xml:space="preserve">. </w:t>
      </w:r>
      <w:r w:rsidR="005E2310" w:rsidRPr="001A2C96">
        <w:rPr>
          <w:rFonts w:eastAsia="Times New Roman" w:cs="Arial"/>
          <w:lang w:val="el-GR" w:eastAsia="el-GR"/>
        </w:rPr>
        <w:t>Η επιστημονική και οικονομική βιωσιμότητα της υποδομής θα τεκμηριώνεται σε συγκεκριμένο σχέδιο βιωσιμότητας που θα περιλαμβάνει τις διάφορες π</w:t>
      </w:r>
      <w:r w:rsidR="00EC22C7">
        <w:rPr>
          <w:rFonts w:eastAsia="Times New Roman" w:cs="Arial"/>
          <w:lang w:val="el-GR" w:eastAsia="el-GR"/>
        </w:rPr>
        <w:t>ηγές χρηματοδότησης και εσόδων, με βάση την εμβέλεια της λειτουργίας της και τις υπηρεσίες που θα προσφέρει.</w:t>
      </w:r>
      <w:r w:rsidR="003B5266" w:rsidRPr="003B5266">
        <w:rPr>
          <w:rFonts w:eastAsia="Times New Roman" w:cs="Arial"/>
          <w:lang w:val="el-GR" w:eastAsia="el-GR"/>
        </w:rPr>
        <w:t xml:space="preserve"> </w:t>
      </w:r>
    </w:p>
    <w:p w:rsidR="00643510" w:rsidRDefault="005F4A2C">
      <w:pPr>
        <w:pStyle w:val="a4"/>
        <w:numPr>
          <w:ilvl w:val="0"/>
          <w:numId w:val="23"/>
        </w:numPr>
        <w:jc w:val="both"/>
        <w:rPr>
          <w:lang w:val="el-GR"/>
        </w:rPr>
      </w:pPr>
      <w:r w:rsidRPr="001A2C96">
        <w:rPr>
          <w:rFonts w:eastAsia="Times New Roman" w:cs="Arial"/>
          <w:b/>
          <w:lang w:val="el-GR" w:eastAsia="el-GR"/>
        </w:rPr>
        <w:t>Ωριμότητα</w:t>
      </w:r>
      <w:r w:rsidR="001A2C96" w:rsidRPr="001A2C96">
        <w:rPr>
          <w:rFonts w:eastAsia="Times New Roman" w:cs="Arial"/>
          <w:lang w:val="el-GR" w:eastAsia="el-GR"/>
        </w:rPr>
        <w:t xml:space="preserve">. </w:t>
      </w:r>
      <w:r w:rsidR="005E2310" w:rsidRPr="001A2C96">
        <w:rPr>
          <w:rFonts w:eastAsia="Times New Roman" w:cs="Arial"/>
          <w:lang w:val="el-GR" w:eastAsia="el-GR"/>
        </w:rPr>
        <w:t>Η υποδομή θα πρέπει να διαθέτει τον βασικό εξοπλισμό</w:t>
      </w:r>
      <w:r w:rsidR="001A2C96">
        <w:rPr>
          <w:rFonts w:eastAsia="Times New Roman" w:cs="Arial"/>
          <w:lang w:val="el-GR" w:eastAsia="el-GR"/>
        </w:rPr>
        <w:t>,</w:t>
      </w:r>
      <w:r w:rsidR="005E2310" w:rsidRPr="001A2C96">
        <w:rPr>
          <w:rFonts w:eastAsia="Times New Roman" w:cs="Arial"/>
          <w:lang w:val="el-GR" w:eastAsia="el-GR"/>
        </w:rPr>
        <w:t xml:space="preserve"> το κατάλληλο προσωπικό </w:t>
      </w:r>
      <w:r w:rsidR="00422143" w:rsidRPr="001A2C96">
        <w:rPr>
          <w:rFonts w:eastAsia="Times New Roman" w:cs="Arial"/>
          <w:lang w:val="el-GR" w:eastAsia="el-GR"/>
        </w:rPr>
        <w:t xml:space="preserve">και </w:t>
      </w:r>
      <w:r w:rsidR="00EC22C7">
        <w:rPr>
          <w:rFonts w:eastAsia="Times New Roman" w:cs="Arial"/>
          <w:lang w:val="el-GR" w:eastAsia="el-GR"/>
        </w:rPr>
        <w:t>τεχνογνωσία για την αποδοτική λειτουργία της και να τεκμηριώνει την αξιοποίηση τυχόν προηγούμενων χρηματοδοτήσεων από συναφείς με υποστήριξη Ε.Υ. δράσεων από περιφερειακές, εθνικές ή και ευρωπαϊκές πηγές. Ιδιαίτερα θα πρέπει να τεκμηριώνεται η ύπαρξη κρίσιμης μάζας εταίρων για τη</w:t>
      </w:r>
      <w:r w:rsidR="001A2C96">
        <w:rPr>
          <w:rFonts w:eastAsia="Times New Roman" w:cs="Arial"/>
          <w:lang w:val="el-GR" w:eastAsia="el-GR"/>
        </w:rPr>
        <w:t>ν</w:t>
      </w:r>
      <w:r w:rsidR="0040467F" w:rsidRPr="001A2C96">
        <w:rPr>
          <w:rFonts w:eastAsia="Times New Roman" w:cs="Arial"/>
          <w:lang w:val="el-GR" w:eastAsia="el-GR"/>
        </w:rPr>
        <w:t xml:space="preserve"> αποτελεσματική λειτουργ</w:t>
      </w:r>
      <w:r w:rsidR="00EC22C7">
        <w:rPr>
          <w:rFonts w:eastAsia="Times New Roman" w:cs="Arial"/>
          <w:lang w:val="el-GR" w:eastAsia="el-GR"/>
        </w:rPr>
        <w:t>ία της Ε.Υ.</w:t>
      </w:r>
    </w:p>
    <w:p w:rsidR="00A45CF2" w:rsidRPr="00DC352A" w:rsidRDefault="0040467F" w:rsidP="00A45CF2">
      <w:pPr>
        <w:pStyle w:val="Web"/>
        <w:jc w:val="both"/>
        <w:rPr>
          <w:rFonts w:asciiTheme="minorHAnsi" w:hAnsiTheme="minorHAnsi"/>
          <w:b/>
          <w:i/>
          <w:color w:val="7F7F7F"/>
          <w:sz w:val="22"/>
          <w:szCs w:val="22"/>
          <w:lang w:val="el-GR"/>
        </w:rPr>
      </w:pPr>
      <w:r>
        <w:rPr>
          <w:rFonts w:asciiTheme="minorHAnsi" w:hAnsiTheme="minorHAnsi"/>
          <w:sz w:val="22"/>
          <w:szCs w:val="22"/>
          <w:lang w:val="el-GR"/>
        </w:rPr>
        <w:t>Στο πλαίσιο αυτό σ</w:t>
      </w:r>
      <w:r w:rsidR="005E2310" w:rsidRPr="005E2310">
        <w:rPr>
          <w:rFonts w:asciiTheme="minorHAnsi" w:hAnsiTheme="minorHAnsi"/>
          <w:sz w:val="22"/>
          <w:szCs w:val="22"/>
          <w:lang w:val="el-GR"/>
        </w:rPr>
        <w:t xml:space="preserve">υνιστάται η δικτύωση </w:t>
      </w:r>
      <w:r w:rsidR="009F58CE">
        <w:rPr>
          <w:rFonts w:asciiTheme="minorHAnsi" w:hAnsiTheme="minorHAnsi"/>
          <w:sz w:val="22"/>
          <w:szCs w:val="22"/>
          <w:lang w:val="el-GR"/>
        </w:rPr>
        <w:t>συμπληρωματικών</w:t>
      </w:r>
      <w:r w:rsidR="005E2310" w:rsidRPr="005E2310">
        <w:rPr>
          <w:rFonts w:asciiTheme="minorHAnsi" w:hAnsiTheme="minorHAnsi"/>
          <w:sz w:val="22"/>
          <w:szCs w:val="22"/>
          <w:lang w:val="el-GR"/>
        </w:rPr>
        <w:t xml:space="preserve"> υποδομών</w:t>
      </w:r>
      <w:r>
        <w:rPr>
          <w:rFonts w:asciiTheme="minorHAnsi" w:hAnsiTheme="minorHAnsi"/>
          <w:sz w:val="22"/>
          <w:szCs w:val="22"/>
          <w:lang w:val="el-GR"/>
        </w:rPr>
        <w:t xml:space="preserve"> σε μια θεματική περιοχή</w:t>
      </w:r>
      <w:r w:rsidR="005E2310" w:rsidRPr="005E2310">
        <w:rPr>
          <w:rFonts w:asciiTheme="minorHAnsi" w:hAnsiTheme="minorHAnsi"/>
          <w:sz w:val="22"/>
          <w:szCs w:val="22"/>
          <w:lang w:val="el-GR"/>
        </w:rPr>
        <w:t xml:space="preserve"> και η υποβολή </w:t>
      </w:r>
      <w:r w:rsidR="005F4A2C" w:rsidRPr="005F4A2C">
        <w:rPr>
          <w:rFonts w:asciiTheme="minorHAnsi" w:hAnsiTheme="minorHAnsi"/>
          <w:b/>
          <w:sz w:val="22"/>
          <w:szCs w:val="22"/>
          <w:lang w:val="el-GR"/>
        </w:rPr>
        <w:t>μίας</w:t>
      </w:r>
      <w:r w:rsidR="005E2310" w:rsidRPr="005E2310">
        <w:rPr>
          <w:rFonts w:asciiTheme="minorHAnsi" w:hAnsiTheme="minorHAnsi"/>
          <w:sz w:val="22"/>
          <w:szCs w:val="22"/>
          <w:lang w:val="el-GR"/>
        </w:rPr>
        <w:t xml:space="preserve"> πρότασης ανά δίκτυο</w:t>
      </w:r>
      <w:r w:rsidR="009F58CE">
        <w:rPr>
          <w:rFonts w:asciiTheme="minorHAnsi" w:hAnsiTheme="minorHAnsi"/>
          <w:sz w:val="22"/>
          <w:szCs w:val="22"/>
          <w:lang w:val="el-GR"/>
        </w:rPr>
        <w:t>.</w:t>
      </w:r>
    </w:p>
    <w:p w:rsidR="00A45CF2" w:rsidRPr="00DC352A" w:rsidRDefault="005E2310" w:rsidP="00A45CF2">
      <w:pPr>
        <w:tabs>
          <w:tab w:val="left" w:pos="5954"/>
        </w:tabs>
        <w:jc w:val="both"/>
        <w:rPr>
          <w:lang w:val="el-GR"/>
        </w:rPr>
      </w:pPr>
      <w:r w:rsidRPr="005E2310">
        <w:rPr>
          <w:lang w:val="el-GR"/>
        </w:rPr>
        <w:t xml:space="preserve">Για την επιλογή των προτάσεων που θα υποβληθούν στο πλαίσιο της παρούσας πρόσκλησης θα εφαρμοστούν όλα τα κριτήρια που ακολουθήθηκαν για τη </w:t>
      </w:r>
      <w:r w:rsidR="00366693">
        <w:rPr>
          <w:lang w:val="el-GR"/>
        </w:rPr>
        <w:t>διαμόρφωση του υφιστάμενου Ο.Χ.</w:t>
      </w:r>
      <w:r w:rsidR="00B235B4">
        <w:rPr>
          <w:lang w:val="el-GR"/>
        </w:rPr>
        <w:t xml:space="preserve"> και την επιλογή των Ε.Υ. που θα χρηματοδοτηθούν σε πρώτη φάση.</w:t>
      </w:r>
    </w:p>
    <w:p w:rsidR="00643510" w:rsidRDefault="005E2310">
      <w:pPr>
        <w:tabs>
          <w:tab w:val="left" w:pos="5954"/>
        </w:tabs>
        <w:jc w:val="both"/>
        <w:rPr>
          <w:color w:val="000000"/>
          <w:lang w:val="el-GR"/>
        </w:rPr>
      </w:pPr>
      <w:r w:rsidRPr="005E2310">
        <w:rPr>
          <w:color w:val="000000"/>
          <w:lang w:val="el-GR"/>
        </w:rPr>
        <w:t>Περισσότερα στοιχεία για τους στόχους του εγχειρήματος, τη διαδικασία εκδήλωσης ενδιαφέροντος, υποβολής προτάσεων και αξιολόγησης για την συμπλήρωση του Οδικού Χάρτη δίδονται στο επισυναπτόμενο αναλυτικό υποστηρικτικό κείμενο που ακολουθεί.</w:t>
      </w:r>
    </w:p>
    <w:p w:rsidR="005E2310" w:rsidRDefault="005E2310" w:rsidP="005E2310">
      <w:pPr>
        <w:tabs>
          <w:tab w:val="left" w:pos="5954"/>
        </w:tabs>
        <w:rPr>
          <w:color w:val="C00000"/>
          <w:lang w:val="el-GR"/>
        </w:rPr>
      </w:pPr>
      <w:r w:rsidRPr="005E2310">
        <w:rPr>
          <w:color w:val="000000"/>
          <w:lang w:val="el-GR"/>
        </w:rPr>
        <w:t xml:space="preserve">Οι προτάσεις </w:t>
      </w:r>
      <w:r w:rsidR="005C7F53">
        <w:rPr>
          <w:color w:val="000000"/>
          <w:lang w:val="el-GR"/>
        </w:rPr>
        <w:t xml:space="preserve">θα υποβληθούν (στα αγγλικά) σε ηλεκτρονική πλατφόρμα της ΓΓΕΤ της οποίας η έναρξη λειτουργίας θα ανακοινωθεί πολύ σύντομα. </w:t>
      </w:r>
    </w:p>
    <w:p w:rsidR="005A62D3" w:rsidRPr="00EE2639" w:rsidRDefault="005A62D3" w:rsidP="005A62D3">
      <w:pPr>
        <w:pBdr>
          <w:top w:val="single" w:sz="4" w:space="1" w:color="auto"/>
          <w:left w:val="single" w:sz="4" w:space="4" w:color="auto"/>
          <w:bottom w:val="single" w:sz="4" w:space="1" w:color="auto"/>
          <w:right w:val="single" w:sz="4" w:space="4" w:color="auto"/>
        </w:pBdr>
        <w:jc w:val="both"/>
        <w:rPr>
          <w:lang w:val="el-GR"/>
        </w:rPr>
      </w:pPr>
      <w:r>
        <w:rPr>
          <w:rStyle w:val="a6"/>
        </w:rPr>
        <w:footnoteRef/>
      </w:r>
      <w:r w:rsidRPr="00EE2639">
        <w:rPr>
          <w:lang w:val="el-GR"/>
        </w:rPr>
        <w:t xml:space="preserve"> </w:t>
      </w:r>
      <w:r w:rsidRPr="00EE2639">
        <w:rPr>
          <w:rFonts w:ascii="Calibri" w:hAnsi="Calibri"/>
          <w:i/>
          <w:color w:val="1F497D"/>
          <w:sz w:val="20"/>
          <w:szCs w:val="20"/>
          <w:lang w:val="el-GR"/>
        </w:rPr>
        <w:t>Ορισμός από το Συμβούλιο της Ευρωπαϊκής Ένωσης – (</w:t>
      </w:r>
      <w:r w:rsidRPr="003E05DC">
        <w:rPr>
          <w:rFonts w:ascii="Calibri" w:hAnsi="Calibri"/>
          <w:i/>
          <w:color w:val="1F497D"/>
          <w:sz w:val="20"/>
          <w:szCs w:val="20"/>
        </w:rPr>
        <w:t>Interinstitutional</w:t>
      </w:r>
      <w:r w:rsidRPr="00EE2639">
        <w:rPr>
          <w:rFonts w:ascii="Calibri" w:hAnsi="Calibri"/>
          <w:i/>
          <w:color w:val="1F497D"/>
          <w:sz w:val="20"/>
          <w:szCs w:val="20"/>
          <w:lang w:val="el-GR"/>
        </w:rPr>
        <w:t xml:space="preserve"> </w:t>
      </w:r>
      <w:r w:rsidRPr="003E05DC">
        <w:rPr>
          <w:rFonts w:ascii="Calibri" w:hAnsi="Calibri"/>
          <w:i/>
          <w:color w:val="1F497D"/>
          <w:sz w:val="20"/>
          <w:szCs w:val="20"/>
        </w:rPr>
        <w:t>File</w:t>
      </w:r>
      <w:r w:rsidRPr="00EE2639">
        <w:rPr>
          <w:rFonts w:ascii="Calibri" w:hAnsi="Calibri"/>
          <w:i/>
          <w:color w:val="1F497D"/>
          <w:sz w:val="20"/>
          <w:szCs w:val="20"/>
          <w:lang w:val="el-GR"/>
        </w:rPr>
        <w:t xml:space="preserve"> 2011/0402 (</w:t>
      </w:r>
      <w:r w:rsidRPr="003E05DC">
        <w:rPr>
          <w:rFonts w:ascii="Calibri" w:hAnsi="Calibri"/>
          <w:i/>
          <w:color w:val="1F497D"/>
          <w:sz w:val="20"/>
          <w:szCs w:val="20"/>
        </w:rPr>
        <w:t>CNS</w:t>
      </w:r>
      <w:r w:rsidRPr="00EE2639">
        <w:rPr>
          <w:rFonts w:ascii="Calibri" w:hAnsi="Calibri"/>
          <w:i/>
          <w:color w:val="1F497D"/>
          <w:sz w:val="20"/>
          <w:szCs w:val="20"/>
          <w:lang w:val="el-GR"/>
        </w:rPr>
        <w:t>) – 29.10.2012.)</w:t>
      </w:r>
    </w:p>
    <w:p w:rsidR="00A5302C" w:rsidRPr="006759BC" w:rsidRDefault="005A62D3" w:rsidP="006759BC">
      <w:pPr>
        <w:pBdr>
          <w:top w:val="single" w:sz="4" w:space="1" w:color="auto"/>
          <w:left w:val="single" w:sz="4" w:space="4" w:color="auto"/>
          <w:bottom w:val="single" w:sz="4" w:space="1" w:color="auto"/>
          <w:right w:val="single" w:sz="4" w:space="4" w:color="auto"/>
        </w:pBdr>
        <w:jc w:val="both"/>
        <w:rPr>
          <w:rFonts w:ascii="Calibri" w:hAnsi="Calibri"/>
          <w:sz w:val="20"/>
          <w:szCs w:val="20"/>
          <w:lang w:val="en-US"/>
        </w:rPr>
      </w:pPr>
      <w:r w:rsidRPr="00F85489">
        <w:rPr>
          <w:rFonts w:ascii="Calibri" w:hAnsi="Calibri"/>
          <w:b/>
          <w:sz w:val="20"/>
          <w:szCs w:val="20"/>
          <w:lang w:val="en-US"/>
        </w:rPr>
        <w:t>Research infrastructures</w:t>
      </w:r>
      <w:r w:rsidRPr="007C6323">
        <w:rPr>
          <w:rFonts w:ascii="Calibri" w:hAnsi="Calibri"/>
          <w:sz w:val="20"/>
          <w:szCs w:val="20"/>
          <w:lang w:val="en-US"/>
        </w:rPr>
        <w:t xml:space="preserve"> are facilities, resources, organisational systems and services that are used by the research communities to conduct research and innovation in their fields. Where relevant, they may be used beyond research, e.g. for education or public services. They include: major scientific equipment (or sets of instruments); knowledge-based resources such as collections, archives or scientific data; e-infrastructures, such as data, computing and software systems, communication networks and systems to promote openness and digital trust; and any other infrastructure of a unique nature essential to achieve excellence in research and innovation</w:t>
      </w:r>
      <w:r w:rsidRPr="00CC6F80">
        <w:rPr>
          <w:rFonts w:ascii="Calibri" w:hAnsi="Calibri"/>
          <w:sz w:val="20"/>
          <w:szCs w:val="20"/>
          <w:lang w:val="en-US"/>
        </w:rPr>
        <w:t>.</w:t>
      </w:r>
    </w:p>
    <w:p w:rsidR="00790FF0" w:rsidRDefault="00790FF0">
      <w:pPr>
        <w:rPr>
          <w:rFonts w:eastAsia="Times New Roman" w:cs="Arial"/>
          <w:lang w:val="en-US"/>
        </w:rPr>
      </w:pPr>
      <w:r>
        <w:rPr>
          <w:rFonts w:eastAsia="Times New Roman" w:cs="Arial"/>
          <w:lang w:val="en-US"/>
        </w:rPr>
        <w:br w:type="page"/>
      </w:r>
    </w:p>
    <w:p w:rsidR="00975922" w:rsidRPr="005A62D3" w:rsidRDefault="00975922" w:rsidP="00975922">
      <w:pPr>
        <w:spacing w:after="0" w:line="240" w:lineRule="auto"/>
        <w:jc w:val="both"/>
        <w:rPr>
          <w:rFonts w:eastAsia="Times New Roman" w:cs="Arial"/>
          <w:lang w:val="en-US"/>
        </w:rPr>
      </w:pPr>
    </w:p>
    <w:p w:rsidR="00975922" w:rsidRPr="00CF29DB" w:rsidRDefault="00975922" w:rsidP="00975922">
      <w:pPr>
        <w:spacing w:after="0" w:line="240" w:lineRule="auto"/>
        <w:jc w:val="center"/>
        <w:rPr>
          <w:rFonts w:eastAsia="Times New Roman" w:cs="Arial"/>
          <w:b/>
          <w:lang w:val="el-GR"/>
        </w:rPr>
      </w:pPr>
      <w:r w:rsidRPr="00B24AD4">
        <w:rPr>
          <w:rFonts w:eastAsia="Times New Roman" w:cs="Arial"/>
          <w:b/>
          <w:lang w:val="el-GR"/>
        </w:rPr>
        <w:t xml:space="preserve">ΕΘΝΙΚΕΣ ΥΠΟΔΟΜΕΣ </w:t>
      </w:r>
      <w:r w:rsidR="00594054">
        <w:rPr>
          <w:rFonts w:eastAsia="Times New Roman" w:cs="Arial"/>
          <w:b/>
          <w:lang w:val="en-US"/>
        </w:rPr>
        <w:t>ETAK</w:t>
      </w:r>
    </w:p>
    <w:p w:rsidR="00975922" w:rsidRPr="00B24AD4" w:rsidRDefault="00975922" w:rsidP="00975922">
      <w:pPr>
        <w:spacing w:after="0" w:line="240" w:lineRule="auto"/>
        <w:jc w:val="center"/>
        <w:rPr>
          <w:rFonts w:eastAsia="Times New Roman" w:cs="Arial"/>
          <w:b/>
          <w:lang w:val="el-GR"/>
        </w:rPr>
      </w:pPr>
    </w:p>
    <w:p w:rsidR="00975922" w:rsidRPr="00B24AD4" w:rsidRDefault="00975922" w:rsidP="00975922">
      <w:pPr>
        <w:spacing w:after="0" w:line="240" w:lineRule="auto"/>
        <w:jc w:val="center"/>
        <w:rPr>
          <w:rFonts w:cs="Arial"/>
          <w:b/>
          <w:lang w:val="el-GR"/>
        </w:rPr>
      </w:pPr>
      <w:r w:rsidRPr="00B24AD4">
        <w:rPr>
          <w:rFonts w:cs="Arial"/>
          <w:b/>
          <w:lang w:val="el-GR"/>
        </w:rPr>
        <w:t>ΥΠΟΣΤΗΡΙΚΤΙΚΟ ΚΕΙΜΕΝΟ</w:t>
      </w:r>
    </w:p>
    <w:p w:rsidR="00975922" w:rsidRPr="00B24AD4" w:rsidRDefault="00975922" w:rsidP="00975922">
      <w:pPr>
        <w:spacing w:after="0" w:line="240" w:lineRule="auto"/>
        <w:rPr>
          <w:rFonts w:cs="Arial"/>
          <w:lang w:val="el-GR"/>
        </w:rPr>
      </w:pPr>
    </w:p>
    <w:p w:rsidR="00975922" w:rsidRPr="00B24AD4" w:rsidRDefault="00975922" w:rsidP="00975922">
      <w:pPr>
        <w:spacing w:after="0" w:line="240" w:lineRule="auto"/>
        <w:rPr>
          <w:rFonts w:cs="Arial"/>
          <w:b/>
          <w:lang w:val="el-GR"/>
        </w:rPr>
      </w:pPr>
      <w:r w:rsidRPr="00B24AD4">
        <w:rPr>
          <w:rFonts w:cs="Arial"/>
          <w:b/>
          <w:lang w:val="el-GR"/>
        </w:rPr>
        <w:t>Εισαγωγή</w:t>
      </w:r>
    </w:p>
    <w:p w:rsidR="00975922" w:rsidRPr="00B24AD4" w:rsidRDefault="00975922" w:rsidP="00975922">
      <w:pPr>
        <w:spacing w:after="0" w:line="240" w:lineRule="auto"/>
        <w:rPr>
          <w:rFonts w:cs="Arial"/>
          <w:lang w:val="el-GR"/>
        </w:rPr>
      </w:pPr>
    </w:p>
    <w:p w:rsidR="00975922" w:rsidRPr="00B24AD4" w:rsidRDefault="00975922" w:rsidP="00975922">
      <w:pPr>
        <w:spacing w:after="0" w:line="240" w:lineRule="auto"/>
        <w:jc w:val="both"/>
        <w:rPr>
          <w:rFonts w:eastAsia="Times New Roman" w:cs="Arial"/>
          <w:lang w:val="el-GR"/>
        </w:rPr>
      </w:pPr>
      <w:r w:rsidRPr="00B24AD4">
        <w:rPr>
          <w:rFonts w:eastAsia="Times New Roman" w:cs="Arial"/>
          <w:lang w:val="el-GR"/>
        </w:rPr>
        <w:t>Οι Ερευνητικές Υποδομές αποτελούν ένα κύριο δομικό στοιχείο του ερευνητικού συστήματος κάθε χώρας αλλά και του Ευρωπαϊκού Χώρου Έρευνας. Όπως χαρακτηριστικά επισημαίνεται στο πλαίσιο της εμβληματικής πρωτοβουλίας «Ένωση Καινοτομίας» της πολιτικής «Ευρώπη 2020», οι Ερευνητικές Υποδομές είναι συν</w:t>
      </w:r>
      <w:r w:rsidR="00302FD2">
        <w:rPr>
          <w:rFonts w:eastAsia="Times New Roman" w:cs="Arial"/>
          <w:lang w:val="el-GR"/>
        </w:rPr>
        <w:t xml:space="preserve">υφασμένες </w:t>
      </w:r>
      <w:r w:rsidRPr="00B24AD4">
        <w:rPr>
          <w:rFonts w:eastAsia="Times New Roman" w:cs="Arial"/>
          <w:lang w:val="el-GR"/>
        </w:rPr>
        <w:t xml:space="preserve">με την «επένδυση για το μέλλον». </w:t>
      </w:r>
    </w:p>
    <w:p w:rsidR="00975922" w:rsidRPr="00B24AD4" w:rsidRDefault="00975922" w:rsidP="00975922">
      <w:pPr>
        <w:spacing w:after="0" w:line="240" w:lineRule="auto"/>
        <w:jc w:val="both"/>
        <w:rPr>
          <w:rFonts w:eastAsia="Times New Roman" w:cs="Arial"/>
          <w:lang w:val="el-GR"/>
        </w:rPr>
      </w:pPr>
    </w:p>
    <w:p w:rsidR="00975922" w:rsidRPr="00B24AD4" w:rsidRDefault="00975922" w:rsidP="00975922">
      <w:pPr>
        <w:spacing w:after="0" w:line="240" w:lineRule="auto"/>
        <w:jc w:val="both"/>
        <w:rPr>
          <w:rFonts w:eastAsia="Times New Roman" w:cs="Arial"/>
          <w:lang w:val="el-GR"/>
        </w:rPr>
      </w:pPr>
      <w:r w:rsidRPr="00B24AD4">
        <w:rPr>
          <w:rFonts w:eastAsia="Times New Roman" w:cs="Arial"/>
          <w:lang w:val="el-GR"/>
        </w:rPr>
        <w:t xml:space="preserve">Οι Ερευνητικές Υποδομές είναι εγκαταστάσεις, ερευνητικοί πόροι, οργανωτικά συστήματα και υπηρεσίες που χρησιμοποιούνται από τις </w:t>
      </w:r>
      <w:r w:rsidR="00DE2030">
        <w:rPr>
          <w:rFonts w:eastAsia="Times New Roman" w:cs="Arial"/>
          <w:lang w:val="el-GR"/>
        </w:rPr>
        <w:t xml:space="preserve">επιστημονικές </w:t>
      </w:r>
      <w:r w:rsidRPr="00B24AD4">
        <w:rPr>
          <w:rFonts w:eastAsia="Times New Roman" w:cs="Arial"/>
          <w:lang w:val="el-GR"/>
        </w:rPr>
        <w:t>κοινότητες για τη διεξαγωγή ερευνητικών δράσεων και την παραγωγή καινοτομίας, στα πεδία ενδιαφέροντός τους. Όπου απαιτείται, μπορούν να χρησιμοποιηθούν και πέραν της έρευνας, όπως, για παράδειγμα, για εκπαιδευτικές ή δημόσιες υπηρεσίες. Οι Ερευνητικές Υποδομές περιλαμβάνουν: βασικό επιστημονικό εξοπλισμό (ή σύνολα εργαλείων), ερευνητικούς πόρους βασισμένους στη γνώση, όπως συλλογές, αρχεία ή επιστημονικά δεδομένα, ηλεκτρονικές υποδομές (</w:t>
      </w:r>
      <w:r w:rsidRPr="00B24AD4">
        <w:rPr>
          <w:rFonts w:eastAsia="Times New Roman" w:cs="Arial"/>
        </w:rPr>
        <w:t>e</w:t>
      </w:r>
      <w:r w:rsidRPr="00B24AD4">
        <w:rPr>
          <w:rFonts w:eastAsia="Times New Roman" w:cs="Arial"/>
          <w:lang w:val="el-GR"/>
        </w:rPr>
        <w:t xml:space="preserve">- </w:t>
      </w:r>
      <w:r w:rsidRPr="00B24AD4">
        <w:rPr>
          <w:rFonts w:eastAsia="Times New Roman" w:cs="Arial"/>
        </w:rPr>
        <w:t>infrastructures</w:t>
      </w:r>
      <w:r w:rsidRPr="00B24AD4">
        <w:rPr>
          <w:rFonts w:eastAsia="Times New Roman" w:cs="Arial"/>
          <w:lang w:val="el-GR"/>
        </w:rPr>
        <w:t xml:space="preserve">), δεδομένα, υπολογιστικά συστήματα και λογισμικό, επικοινωνιακά δίκτυα και συστήματα προώθησης της ανοικτής πρόσβασης και ψηφιακής εμπιστοσύνης, καθώς και κάθε άλλη υποδομή μοναδικού χαρακτήρα που είναι απαραίτητη στην απόκτηση αριστείας στην έρευνα και καινοτομία. </w:t>
      </w:r>
    </w:p>
    <w:p w:rsidR="00975922" w:rsidRPr="00B24AD4" w:rsidRDefault="00975922" w:rsidP="00975922">
      <w:pPr>
        <w:spacing w:after="0" w:line="240" w:lineRule="auto"/>
        <w:rPr>
          <w:rFonts w:eastAsia="Times New Roman" w:cs="Arial"/>
          <w:lang w:val="el-GR"/>
        </w:rPr>
      </w:pPr>
    </w:p>
    <w:p w:rsidR="00975922" w:rsidRPr="00B24AD4" w:rsidRDefault="00975922" w:rsidP="00975922">
      <w:pPr>
        <w:spacing w:after="0" w:line="240" w:lineRule="auto"/>
        <w:jc w:val="both"/>
        <w:rPr>
          <w:rFonts w:eastAsia="Times New Roman" w:cs="Arial"/>
          <w:lang w:val="el-GR"/>
        </w:rPr>
      </w:pPr>
      <w:r w:rsidRPr="00B24AD4">
        <w:rPr>
          <w:rFonts w:eastAsia="Times New Roman" w:cs="Arial"/>
          <w:lang w:val="el-GR"/>
        </w:rPr>
        <w:t xml:space="preserve">Στην εποχή οικονομικής κρίσης την οποία διανύουμε, είναι απαραίτητο να ληφθεί μέριμνα ώστε μέσω ενός μακρόπνοου στρατηγικού σχεδιασμού αφενός να ενισχυθούν υφιστάμενες ερευνητικές υποδομές εθνικής σημασίας, αφετέρου να αναπτυχθούν νέες υποδομές, όπου </w:t>
      </w:r>
      <w:r w:rsidR="00302FD2">
        <w:rPr>
          <w:rFonts w:eastAsia="Times New Roman" w:cs="Arial"/>
          <w:lang w:val="el-GR"/>
        </w:rPr>
        <w:t>απαιτείται</w:t>
      </w:r>
      <w:r w:rsidRPr="00B24AD4">
        <w:rPr>
          <w:rFonts w:eastAsia="Times New Roman" w:cs="Arial"/>
          <w:lang w:val="el-GR"/>
        </w:rPr>
        <w:t xml:space="preserve">, </w:t>
      </w:r>
      <w:r w:rsidR="00302FD2">
        <w:rPr>
          <w:rFonts w:eastAsia="Times New Roman" w:cs="Arial"/>
          <w:lang w:val="el-GR"/>
        </w:rPr>
        <w:t xml:space="preserve">οι οποίες θα συντελέσουν στη δημιουργία </w:t>
      </w:r>
      <w:r w:rsidRPr="00B24AD4">
        <w:rPr>
          <w:rFonts w:eastAsia="Times New Roman" w:cs="Arial"/>
          <w:lang w:val="el-GR"/>
        </w:rPr>
        <w:t>ελκυστικ</w:t>
      </w:r>
      <w:r w:rsidR="00302FD2">
        <w:rPr>
          <w:rFonts w:eastAsia="Times New Roman" w:cs="Arial"/>
          <w:lang w:val="el-GR"/>
        </w:rPr>
        <w:t xml:space="preserve">ού </w:t>
      </w:r>
      <w:r w:rsidRPr="00B24AD4">
        <w:rPr>
          <w:rFonts w:eastAsia="Times New Roman" w:cs="Arial"/>
          <w:lang w:val="el-GR"/>
        </w:rPr>
        <w:t>περιβάλλον</w:t>
      </w:r>
      <w:r w:rsidR="00302FD2">
        <w:rPr>
          <w:rFonts w:eastAsia="Times New Roman" w:cs="Arial"/>
          <w:lang w:val="el-GR"/>
        </w:rPr>
        <w:t xml:space="preserve">τος </w:t>
      </w:r>
      <w:r w:rsidRPr="00B24AD4">
        <w:rPr>
          <w:rFonts w:eastAsia="Times New Roman" w:cs="Arial"/>
          <w:lang w:val="el-GR"/>
        </w:rPr>
        <w:t>για την έρευνα στην Ελλάδα</w:t>
      </w:r>
      <w:r w:rsidR="00302FD2">
        <w:rPr>
          <w:rFonts w:eastAsia="Times New Roman" w:cs="Arial"/>
          <w:lang w:val="el-GR"/>
        </w:rPr>
        <w:t>. Ταυτόχρονα, θα συνεισφέρουν στην προώθηση της Καινοτομίας και στη διαμόρφωση της Οικονομίας της Γνώσης ως πυλώνες οικονομικής και κοινωνικής ανάπτυξης.</w:t>
      </w:r>
      <w:r w:rsidRPr="00B24AD4">
        <w:rPr>
          <w:rFonts w:eastAsia="Times New Roman" w:cs="Arial"/>
          <w:lang w:val="el-GR"/>
        </w:rPr>
        <w:t xml:space="preserve"> </w:t>
      </w:r>
    </w:p>
    <w:p w:rsidR="00975922" w:rsidRPr="00B24AD4" w:rsidRDefault="00975922" w:rsidP="00975922">
      <w:pPr>
        <w:spacing w:after="0" w:line="240" w:lineRule="auto"/>
        <w:jc w:val="both"/>
        <w:rPr>
          <w:rFonts w:eastAsia="Times New Roman" w:cs="Arial"/>
          <w:lang w:val="el-GR"/>
        </w:rPr>
      </w:pPr>
    </w:p>
    <w:p w:rsidR="00975922" w:rsidRPr="00B24AD4" w:rsidRDefault="00975922" w:rsidP="00975922">
      <w:pPr>
        <w:spacing w:after="0" w:line="240" w:lineRule="auto"/>
        <w:jc w:val="both"/>
        <w:rPr>
          <w:rFonts w:eastAsia="Times New Roman" w:cs="Arial"/>
          <w:lang w:val="el-GR"/>
        </w:rPr>
      </w:pPr>
      <w:r w:rsidRPr="00B24AD4">
        <w:rPr>
          <w:rFonts w:eastAsia="Times New Roman" w:cs="Arial"/>
          <w:lang w:val="el-GR"/>
        </w:rPr>
        <w:t xml:space="preserve">Η Γενική Γραμματεία Έρευνας και Τεχνολογίας (ΓΓΕΤ), ως αρμόδιος φορέας της Πολιτείας για θέματα πολιτικής Έρευνας, Τεχνολογικής Ανάπτυξης και Καινοτομίας (ΕΤΑΚ), </w:t>
      </w:r>
      <w:r w:rsidR="00302FD2">
        <w:rPr>
          <w:rFonts w:eastAsia="Times New Roman" w:cs="Arial"/>
          <w:lang w:val="el-GR"/>
        </w:rPr>
        <w:t xml:space="preserve">προετοίμασε </w:t>
      </w:r>
      <w:r w:rsidRPr="00B24AD4">
        <w:rPr>
          <w:rFonts w:eastAsia="Times New Roman" w:cs="Arial"/>
          <w:lang w:val="el-GR"/>
        </w:rPr>
        <w:t xml:space="preserve">τον Δεκέμβριο του 2014 τον </w:t>
      </w:r>
      <w:r w:rsidRPr="00B24AD4">
        <w:rPr>
          <w:rFonts w:eastAsia="Times New Roman" w:cs="Arial"/>
          <w:b/>
          <w:lang w:val="el-GR"/>
        </w:rPr>
        <w:t>Εθνικό Οδικό Χάρτη Ερευνητικών Υποδομών</w:t>
      </w:r>
      <w:r w:rsidR="00302FD2">
        <w:rPr>
          <w:rFonts w:eastAsia="Times New Roman" w:cs="Arial"/>
          <w:b/>
          <w:lang w:val="el-GR"/>
        </w:rPr>
        <w:t xml:space="preserve"> (ΟΧ)</w:t>
      </w:r>
      <w:r w:rsidRPr="00B24AD4">
        <w:rPr>
          <w:rFonts w:eastAsia="Times New Roman" w:cs="Arial"/>
          <w:lang w:val="el-GR"/>
        </w:rPr>
        <w:t xml:space="preserve">. Η διαδικασία κατάρτισης του Χάρτη </w:t>
      </w:r>
      <w:r w:rsidR="00302FD2">
        <w:rPr>
          <w:rFonts w:eastAsia="Times New Roman" w:cs="Arial"/>
          <w:lang w:val="el-GR"/>
        </w:rPr>
        <w:t xml:space="preserve">αυτού </w:t>
      </w:r>
      <w:r w:rsidRPr="00B24AD4">
        <w:rPr>
          <w:rFonts w:eastAsia="Times New Roman" w:cs="Arial"/>
          <w:lang w:val="el-GR"/>
        </w:rPr>
        <w:t>ανέδειξε 26 ερευνητικές υποδομές οι οποίες</w:t>
      </w:r>
      <w:r w:rsidR="00302FD2">
        <w:rPr>
          <w:rFonts w:eastAsia="Times New Roman" w:cs="Arial"/>
          <w:lang w:val="el-GR"/>
        </w:rPr>
        <w:t>,</w:t>
      </w:r>
      <w:r w:rsidRPr="00B24AD4">
        <w:rPr>
          <w:rFonts w:eastAsia="Times New Roman" w:cs="Arial"/>
          <w:lang w:val="el-GR"/>
        </w:rPr>
        <w:t xml:space="preserve"> </w:t>
      </w:r>
      <w:r w:rsidR="00302FD2">
        <w:rPr>
          <w:rFonts w:eastAsia="Times New Roman" w:cs="Arial"/>
          <w:lang w:val="el-GR"/>
        </w:rPr>
        <w:t xml:space="preserve">σε αυτή τη φάση, </w:t>
      </w:r>
      <w:r w:rsidRPr="00B24AD4">
        <w:rPr>
          <w:rFonts w:eastAsia="Times New Roman" w:cs="Arial"/>
          <w:lang w:val="el-GR"/>
        </w:rPr>
        <w:t xml:space="preserve">αποτελούν επωφελείς για τη χώρα μακροπρόθεσμες επενδύσεις, χαρακτηρίζονται από επιστημονική και τεχνολογική αριστεία </w:t>
      </w:r>
      <w:r w:rsidR="00DE2030">
        <w:rPr>
          <w:rFonts w:eastAsia="Times New Roman" w:cs="Arial"/>
          <w:lang w:val="el-GR"/>
        </w:rPr>
        <w:t>και</w:t>
      </w:r>
      <w:r w:rsidR="00302FD2">
        <w:rPr>
          <w:rFonts w:eastAsia="Times New Roman" w:cs="Arial"/>
          <w:lang w:val="el-GR"/>
        </w:rPr>
        <w:t xml:space="preserve"> μπορεί να συμβάλλ</w:t>
      </w:r>
      <w:r w:rsidR="00DE2030">
        <w:rPr>
          <w:rFonts w:eastAsia="Times New Roman" w:cs="Arial"/>
          <w:lang w:val="el-GR"/>
        </w:rPr>
        <w:t>ουν</w:t>
      </w:r>
      <w:r w:rsidR="00302FD2">
        <w:rPr>
          <w:rFonts w:eastAsia="Times New Roman" w:cs="Arial"/>
          <w:lang w:val="el-GR"/>
        </w:rPr>
        <w:t xml:space="preserve"> στην προώθηση και ανάδειξη </w:t>
      </w:r>
      <w:r w:rsidR="001A2C96">
        <w:rPr>
          <w:rFonts w:eastAsia="Times New Roman" w:cs="Arial"/>
          <w:lang w:val="el-GR"/>
        </w:rPr>
        <w:t xml:space="preserve">διαφόρων </w:t>
      </w:r>
      <w:r w:rsidR="00302FD2">
        <w:rPr>
          <w:rFonts w:eastAsia="Times New Roman" w:cs="Arial"/>
          <w:lang w:val="el-GR"/>
        </w:rPr>
        <w:t>επιστημονικών τομέων στη χώρα</w:t>
      </w:r>
      <w:r w:rsidRPr="00B24AD4">
        <w:rPr>
          <w:rFonts w:eastAsia="Times New Roman" w:cs="Arial"/>
          <w:lang w:val="el-GR"/>
        </w:rPr>
        <w:t>.</w:t>
      </w:r>
    </w:p>
    <w:p w:rsidR="00975922" w:rsidRPr="00B24AD4" w:rsidRDefault="00975922" w:rsidP="00975922">
      <w:pPr>
        <w:spacing w:after="0" w:line="240" w:lineRule="auto"/>
        <w:jc w:val="both"/>
        <w:rPr>
          <w:rFonts w:eastAsia="Times New Roman" w:cs="Arial"/>
          <w:lang w:val="el-GR"/>
        </w:rPr>
      </w:pPr>
    </w:p>
    <w:p w:rsidR="00975922" w:rsidRPr="00B24AD4" w:rsidRDefault="00DE2030" w:rsidP="00975922">
      <w:pPr>
        <w:spacing w:line="240" w:lineRule="auto"/>
        <w:jc w:val="both"/>
        <w:rPr>
          <w:rFonts w:cs="Arial"/>
          <w:lang w:val="el-GR"/>
        </w:rPr>
      </w:pPr>
      <w:r>
        <w:rPr>
          <w:rFonts w:cs="Arial"/>
          <w:lang w:val="el-GR"/>
        </w:rPr>
        <w:t>Σημαντική πηγή χρηματοδότησης τουλάχιστον ορισμένων ΕΥ του ΟΧ είναι το νέο ΕΣΠΑ 2014-2020 μέσω του</w:t>
      </w:r>
      <w:r w:rsidR="00975922" w:rsidRPr="00B24AD4">
        <w:rPr>
          <w:rFonts w:cs="Arial"/>
          <w:lang w:val="el-GR"/>
        </w:rPr>
        <w:t xml:space="preserve"> Επιχειρησιακού Προγράμματος «Ανταγωνιστικότητα, Επιχειρηματικότητα και Καινοτομία»</w:t>
      </w:r>
      <w:r>
        <w:rPr>
          <w:rFonts w:cs="Arial"/>
          <w:lang w:val="el-GR"/>
        </w:rPr>
        <w:t xml:space="preserve"> το οποίο σύμφωνα με τους ισχύοντες κανονισμούς </w:t>
      </w:r>
      <w:r w:rsidR="00975922" w:rsidRPr="00B24AD4">
        <w:rPr>
          <w:rFonts w:cs="Arial"/>
          <w:lang w:val="el-GR"/>
        </w:rPr>
        <w:t>απαιτεί την πλήρη ευθυγράμμισή τους με τις προτεραιότητες της Εθνικής Στρατηγικής ΕΤΑΚ για την Έξυπνη Εξειδίκευση (</w:t>
      </w:r>
      <w:r w:rsidR="00975922" w:rsidRPr="00B24AD4">
        <w:rPr>
          <w:rFonts w:cs="Arial"/>
        </w:rPr>
        <w:t>RIS</w:t>
      </w:r>
      <w:r w:rsidR="00975922" w:rsidRPr="00B24AD4">
        <w:rPr>
          <w:rFonts w:cs="Arial"/>
          <w:lang w:val="el-GR"/>
        </w:rPr>
        <w:t>3), όπως αυτή εγκρίθηκε με την υπ. αρ. 82193/ΕΥΣΣΑ 1810/4-8-2015 Κοινή Υπουργική Απόφαση</w:t>
      </w:r>
      <w:r>
        <w:rPr>
          <w:rFonts w:cs="Arial"/>
          <w:lang w:val="el-GR"/>
        </w:rPr>
        <w:t xml:space="preserve"> (ΚΥΑ)</w:t>
      </w:r>
      <w:r w:rsidR="00975922" w:rsidRPr="00B24AD4">
        <w:rPr>
          <w:rFonts w:cs="Arial"/>
          <w:lang w:val="el-GR"/>
        </w:rPr>
        <w:t xml:space="preserve"> του Υπουργού Οικονομίας, Υποδομών, Ναυτιλίας &amp; Τουρισμού και του </w:t>
      </w:r>
      <w:r>
        <w:rPr>
          <w:rFonts w:cs="Arial"/>
          <w:lang w:val="el-GR"/>
        </w:rPr>
        <w:t>Α</w:t>
      </w:r>
      <w:r w:rsidR="00975922" w:rsidRPr="00B24AD4">
        <w:rPr>
          <w:rFonts w:cs="Arial"/>
          <w:lang w:val="el-GR"/>
        </w:rPr>
        <w:t>ναπληρωτή Υπουργού Έρευνας.</w:t>
      </w:r>
    </w:p>
    <w:p w:rsidR="00975922" w:rsidRPr="00B24AD4" w:rsidRDefault="00DE2030" w:rsidP="00975922">
      <w:pPr>
        <w:spacing w:line="240" w:lineRule="auto"/>
        <w:jc w:val="both"/>
        <w:rPr>
          <w:rFonts w:cs="Arial"/>
          <w:lang w:val="el-GR"/>
        </w:rPr>
      </w:pPr>
      <w:r>
        <w:rPr>
          <w:rFonts w:cs="Arial"/>
          <w:lang w:val="el-GR"/>
        </w:rPr>
        <w:t>Επισημαίνεται ότι</w:t>
      </w:r>
      <w:r w:rsidR="00975922" w:rsidRPr="00B24AD4">
        <w:rPr>
          <w:rFonts w:cs="Arial"/>
          <w:lang w:val="el-GR"/>
        </w:rPr>
        <w:t xml:space="preserve">, η διαμόρφωση ενός </w:t>
      </w:r>
      <w:r w:rsidR="00975922" w:rsidRPr="00B24AD4">
        <w:rPr>
          <w:rFonts w:cs="Arial"/>
          <w:b/>
          <w:lang w:val="el-GR"/>
        </w:rPr>
        <w:t>Πολυετούς Σχεδίου Χρηματοδότησης</w:t>
      </w:r>
      <w:r w:rsidR="00975922" w:rsidRPr="00B24AD4">
        <w:rPr>
          <w:rFonts w:cs="Arial"/>
          <w:lang w:val="el-GR"/>
        </w:rPr>
        <w:t xml:space="preserve"> των ερευνητικών υποδομών αποτελεί προαπαιτούμενη συνθήκη (</w:t>
      </w:r>
      <w:r w:rsidR="00975922" w:rsidRPr="00B24AD4">
        <w:rPr>
          <w:rFonts w:cs="Arial"/>
        </w:rPr>
        <w:t>ex</w:t>
      </w:r>
      <w:r w:rsidR="00975922" w:rsidRPr="00B24AD4">
        <w:rPr>
          <w:rFonts w:cs="Arial"/>
          <w:lang w:val="el-GR"/>
        </w:rPr>
        <w:t>-</w:t>
      </w:r>
      <w:r w:rsidR="00975922" w:rsidRPr="00B24AD4">
        <w:rPr>
          <w:rFonts w:cs="Arial"/>
        </w:rPr>
        <w:t>ante</w:t>
      </w:r>
      <w:r w:rsidR="00975922" w:rsidRPr="00B24AD4">
        <w:rPr>
          <w:rFonts w:cs="Arial"/>
          <w:lang w:val="el-GR"/>
        </w:rPr>
        <w:t xml:space="preserve"> </w:t>
      </w:r>
      <w:r w:rsidR="00975922" w:rsidRPr="00B24AD4">
        <w:rPr>
          <w:rFonts w:cs="Arial"/>
        </w:rPr>
        <w:t>conditionality</w:t>
      </w:r>
      <w:r w:rsidR="00975922" w:rsidRPr="00B24AD4">
        <w:rPr>
          <w:rFonts w:cs="Arial"/>
          <w:lang w:val="el-GR"/>
        </w:rPr>
        <w:t>) για την ενεργοποίηση του συνόλου των πόρων του ΕΣΠΑ 2014-20 για δράσεις ΕΤΑΚ. Οι κανόνες της Ε.Ε. απαιτούν από κάθε χώρα να έχει αναγνωρίσει τις προτεραιότητες για χρηματοδότηση των Ερευνητικών Υποδομών</w:t>
      </w:r>
      <w:r>
        <w:rPr>
          <w:rFonts w:cs="Arial"/>
          <w:lang w:val="el-GR"/>
        </w:rPr>
        <w:t xml:space="preserve"> </w:t>
      </w:r>
      <w:r w:rsidR="00975922" w:rsidRPr="00B24AD4">
        <w:rPr>
          <w:rFonts w:cs="Arial"/>
          <w:lang w:val="el-GR"/>
        </w:rPr>
        <w:t xml:space="preserve">όπου υπάρχει δυναμική ανάπτυξης στην επιστήμη και την καινοτομία, αλλά και τις κοινωνικο - οικονομικές επιπτώσεις τους. Για το σκοπό αυτό, η ΓΓΕΤ προχώρησε με τη βοήθεια μιας Επιτροπής Υψηλού Επιπέδου απαρτιζόμενης από διεθνούς κύρους </w:t>
      </w:r>
      <w:r w:rsidR="0017349C">
        <w:rPr>
          <w:rFonts w:cs="Arial"/>
          <w:lang w:val="el-GR"/>
        </w:rPr>
        <w:t xml:space="preserve">ειδικούς </w:t>
      </w:r>
      <w:r w:rsidR="00975922" w:rsidRPr="00B24AD4">
        <w:rPr>
          <w:rFonts w:cs="Arial"/>
          <w:lang w:val="el-GR"/>
        </w:rPr>
        <w:t>εμπειρο</w:t>
      </w:r>
      <w:r w:rsidR="0017349C">
        <w:rPr>
          <w:rFonts w:cs="Arial"/>
          <w:lang w:val="el-GR"/>
        </w:rPr>
        <w:t xml:space="preserve">γνώμονες </w:t>
      </w:r>
      <w:r w:rsidR="00975922" w:rsidRPr="00B24AD4">
        <w:rPr>
          <w:rFonts w:cs="Arial"/>
          <w:lang w:val="el-GR"/>
        </w:rPr>
        <w:t xml:space="preserve">στην </w:t>
      </w:r>
      <w:r w:rsidR="0017349C">
        <w:rPr>
          <w:rFonts w:cs="Arial"/>
          <w:lang w:val="el-GR"/>
        </w:rPr>
        <w:t xml:space="preserve">πρόκριση εκείνων των ΕΥ από τις </w:t>
      </w:r>
      <w:r w:rsidR="00975922" w:rsidRPr="00B24AD4">
        <w:rPr>
          <w:rFonts w:cs="Arial"/>
          <w:lang w:val="el-GR"/>
        </w:rPr>
        <w:t>26 του Ο</w:t>
      </w:r>
      <w:r w:rsidR="0017349C">
        <w:rPr>
          <w:rFonts w:cs="Arial"/>
          <w:lang w:val="el-GR"/>
        </w:rPr>
        <w:t>.</w:t>
      </w:r>
      <w:r w:rsidR="00975922" w:rsidRPr="00B24AD4">
        <w:rPr>
          <w:rFonts w:cs="Arial"/>
          <w:lang w:val="el-GR"/>
        </w:rPr>
        <w:t>Χ</w:t>
      </w:r>
      <w:r w:rsidR="0017349C">
        <w:rPr>
          <w:rFonts w:cs="Arial"/>
          <w:lang w:val="el-GR"/>
        </w:rPr>
        <w:t>.</w:t>
      </w:r>
      <w:r w:rsidR="00975922" w:rsidRPr="00B24AD4">
        <w:rPr>
          <w:rFonts w:cs="Arial"/>
          <w:lang w:val="el-GR"/>
        </w:rPr>
        <w:t xml:space="preserve">, </w:t>
      </w:r>
      <w:r w:rsidR="0017349C">
        <w:rPr>
          <w:rFonts w:cs="Arial"/>
          <w:lang w:val="el-GR"/>
        </w:rPr>
        <w:t xml:space="preserve">οι οποίες </w:t>
      </w:r>
      <w:r w:rsidR="00975922" w:rsidRPr="00B24AD4">
        <w:rPr>
          <w:rFonts w:cs="Arial"/>
          <w:lang w:val="el-GR"/>
        </w:rPr>
        <w:t xml:space="preserve">εναρμονίζονται πλήρως με τις στρατηγικές προτεραιότητες της </w:t>
      </w:r>
      <w:r w:rsidR="00975922" w:rsidRPr="00B24AD4">
        <w:rPr>
          <w:rFonts w:cs="Arial"/>
        </w:rPr>
        <w:t>RIS</w:t>
      </w:r>
      <w:r w:rsidR="00975922" w:rsidRPr="00B24AD4">
        <w:rPr>
          <w:rFonts w:cs="Arial"/>
          <w:lang w:val="el-GR"/>
        </w:rPr>
        <w:t xml:space="preserve">3. </w:t>
      </w:r>
    </w:p>
    <w:p w:rsidR="00975922" w:rsidRPr="00B24AD4" w:rsidRDefault="00975922" w:rsidP="00975922">
      <w:pPr>
        <w:spacing w:line="240" w:lineRule="auto"/>
        <w:jc w:val="both"/>
        <w:rPr>
          <w:rFonts w:cs="Arial"/>
          <w:lang w:val="el-GR"/>
        </w:rPr>
      </w:pPr>
      <w:r w:rsidRPr="00B24AD4">
        <w:rPr>
          <w:rFonts w:cs="Arial"/>
          <w:lang w:val="el-GR"/>
        </w:rPr>
        <w:t xml:space="preserve">Μέσω της διαδικασίας αυτής επελέγησαν 20 ερευνητικές υποδομές (Απόφαση με αρ. 58296/06.04.16 του αν. Υπουργού Έρευνας), οι συντονιστές των οποίων έχουν κληθεί να συμμετάσχουν σε ειδική  κλειστή προκήρυξη συνολικής χρηματοδότησης </w:t>
      </w:r>
      <w:r w:rsidR="00833D90">
        <w:rPr>
          <w:rFonts w:cs="Arial"/>
          <w:lang w:val="el-GR"/>
        </w:rPr>
        <w:t xml:space="preserve">μέγιστου ύψους </w:t>
      </w:r>
      <w:r w:rsidRPr="00B24AD4">
        <w:rPr>
          <w:rFonts w:cs="Arial"/>
          <w:lang w:val="el-GR"/>
        </w:rPr>
        <w:t>73 εκ. €.</w:t>
      </w:r>
    </w:p>
    <w:p w:rsidR="0017349C" w:rsidRDefault="0017349C" w:rsidP="00975922">
      <w:pPr>
        <w:spacing w:after="0" w:line="240" w:lineRule="auto"/>
        <w:jc w:val="both"/>
        <w:rPr>
          <w:rFonts w:eastAsia="Times New Roman" w:cs="Arial"/>
          <w:lang w:val="el-GR"/>
        </w:rPr>
      </w:pPr>
    </w:p>
    <w:p w:rsidR="0017349C" w:rsidRDefault="00975922" w:rsidP="00975922">
      <w:pPr>
        <w:spacing w:after="0" w:line="240" w:lineRule="auto"/>
        <w:jc w:val="both"/>
        <w:rPr>
          <w:rFonts w:eastAsia="Times New Roman" w:cs="Arial"/>
          <w:lang w:val="el-GR"/>
        </w:rPr>
      </w:pPr>
      <w:r w:rsidRPr="00B24AD4">
        <w:rPr>
          <w:rFonts w:eastAsia="Times New Roman" w:cs="Arial"/>
          <w:lang w:val="el-GR"/>
        </w:rPr>
        <w:t xml:space="preserve">Στην παρούσα </w:t>
      </w:r>
      <w:r w:rsidR="00833D90">
        <w:rPr>
          <w:rFonts w:eastAsia="Times New Roman" w:cs="Arial"/>
          <w:lang w:val="el-GR"/>
        </w:rPr>
        <w:t xml:space="preserve">νέα </w:t>
      </w:r>
      <w:r w:rsidRPr="00B24AD4">
        <w:rPr>
          <w:rFonts w:eastAsia="Times New Roman" w:cs="Arial"/>
          <w:lang w:val="el-GR"/>
        </w:rPr>
        <w:t>πρόσκληση έχουν δικαίωμα συμμετοχής</w:t>
      </w:r>
      <w:r w:rsidR="0017349C">
        <w:rPr>
          <w:rFonts w:eastAsia="Times New Roman" w:cs="Arial"/>
          <w:lang w:val="el-GR"/>
        </w:rPr>
        <w:t>:</w:t>
      </w:r>
    </w:p>
    <w:p w:rsidR="0017349C" w:rsidRDefault="0017349C" w:rsidP="00975922">
      <w:pPr>
        <w:spacing w:after="0" w:line="240" w:lineRule="auto"/>
        <w:jc w:val="both"/>
        <w:rPr>
          <w:rFonts w:eastAsia="Times New Roman" w:cs="Arial"/>
          <w:lang w:val="el-GR"/>
        </w:rPr>
      </w:pPr>
    </w:p>
    <w:p w:rsidR="0017349C" w:rsidRDefault="0017349C" w:rsidP="0017349C">
      <w:pPr>
        <w:pStyle w:val="a4"/>
        <w:numPr>
          <w:ilvl w:val="0"/>
          <w:numId w:val="27"/>
        </w:numPr>
        <w:spacing w:after="0" w:line="240" w:lineRule="auto"/>
        <w:jc w:val="both"/>
        <w:rPr>
          <w:rFonts w:eastAsia="Times New Roman" w:cs="Arial"/>
          <w:lang w:val="el-GR"/>
        </w:rPr>
      </w:pPr>
      <w:r>
        <w:rPr>
          <w:rFonts w:eastAsia="Times New Roman" w:cs="Arial"/>
          <w:lang w:val="el-GR"/>
        </w:rPr>
        <w:t xml:space="preserve">Οι 6 από τις 26 ΕΥ του Ο.Χ. </w:t>
      </w:r>
      <w:r w:rsidR="005C7F53" w:rsidRPr="005E2310">
        <w:rPr>
          <w:color w:val="000000"/>
          <w:lang w:val="el-GR"/>
        </w:rPr>
        <w:t xml:space="preserve">οι οποίες </w:t>
      </w:r>
      <w:r w:rsidR="005C7F53">
        <w:rPr>
          <w:color w:val="000000"/>
          <w:lang w:val="el-GR"/>
        </w:rPr>
        <w:t>έχουν ενταχθεί</w:t>
      </w:r>
      <w:r w:rsidR="005C7F53" w:rsidRPr="005E2310">
        <w:rPr>
          <w:color w:val="000000"/>
          <w:lang w:val="el-GR"/>
        </w:rPr>
        <w:t xml:space="preserve"> στην κύρια λίστα του υφιστάμενου Οδικού Χάρτη αλλά δεν </w:t>
      </w:r>
      <w:r w:rsidR="005C7F53">
        <w:rPr>
          <w:color w:val="000000"/>
          <w:lang w:val="el-GR"/>
        </w:rPr>
        <w:t xml:space="preserve">προκρίθηκαν </w:t>
      </w:r>
      <w:r w:rsidR="005C7F53" w:rsidRPr="005E2310">
        <w:rPr>
          <w:color w:val="000000"/>
          <w:lang w:val="el-GR"/>
        </w:rPr>
        <w:t xml:space="preserve">για χρηματοδότηση στο πλαίσιο της </w:t>
      </w:r>
      <w:r w:rsidR="005C7F53">
        <w:rPr>
          <w:color w:val="000000"/>
          <w:lang w:val="el-GR"/>
        </w:rPr>
        <w:t>1</w:t>
      </w:r>
      <w:r w:rsidR="005C7F53" w:rsidRPr="005C7F53">
        <w:rPr>
          <w:color w:val="000000"/>
          <w:vertAlign w:val="superscript"/>
          <w:lang w:val="el-GR"/>
        </w:rPr>
        <w:t>ης</w:t>
      </w:r>
      <w:r w:rsidR="005C7F53">
        <w:rPr>
          <w:color w:val="000000"/>
          <w:lang w:val="el-GR"/>
        </w:rPr>
        <w:t xml:space="preserve"> </w:t>
      </w:r>
      <w:r w:rsidR="005C7F53" w:rsidRPr="005E2310">
        <w:rPr>
          <w:color w:val="000000"/>
          <w:lang w:val="el-GR"/>
        </w:rPr>
        <w:t>προκήρυξης</w:t>
      </w:r>
      <w:r w:rsidR="005C7F53">
        <w:rPr>
          <w:color w:val="000000"/>
          <w:lang w:val="el-GR"/>
        </w:rPr>
        <w:t xml:space="preserve"> για την ενίσχυση των </w:t>
      </w:r>
      <w:r w:rsidR="005C7F53" w:rsidRPr="00422143">
        <w:rPr>
          <w:color w:val="000000"/>
          <w:lang w:val="el-GR"/>
        </w:rPr>
        <w:t>ερευνητικών δραστηριοτήτων υποδομών ΕΤΑΚ εθνικής εμβέλειας</w:t>
      </w:r>
      <w:r w:rsidR="005C7F53">
        <w:rPr>
          <w:color w:val="000000"/>
          <w:lang w:val="el-GR"/>
        </w:rPr>
        <w:t xml:space="preserve">. Για τις εν λόγω υποδομές θα πρέπει να υποβληθούν επικαιροποιημένες προτάσεις οι οποίες θα τεκμηριώνουν την πλήρη εναρμόνισή τους </w:t>
      </w:r>
      <w:r>
        <w:rPr>
          <w:rFonts w:eastAsia="Times New Roman" w:cs="Arial"/>
          <w:lang w:val="el-GR"/>
        </w:rPr>
        <w:t xml:space="preserve">με έναν ή περισσότερους </w:t>
      </w:r>
      <w:r w:rsidRPr="00B24AD4">
        <w:rPr>
          <w:rFonts w:eastAsia="Times New Roman" w:cs="Arial"/>
          <w:lang w:val="el-GR"/>
        </w:rPr>
        <w:t xml:space="preserve">από τους 8 τομείς προτεραιότητας της Εθνικής </w:t>
      </w:r>
      <w:r w:rsidRPr="00B24AD4">
        <w:rPr>
          <w:rFonts w:cs="Arial"/>
        </w:rPr>
        <w:t>RIS</w:t>
      </w:r>
      <w:r w:rsidRPr="00B24AD4">
        <w:rPr>
          <w:rFonts w:cs="Arial"/>
          <w:lang w:val="el-GR"/>
        </w:rPr>
        <w:t>3</w:t>
      </w:r>
      <w:r w:rsidRPr="00B24AD4">
        <w:rPr>
          <w:rFonts w:eastAsia="Times New Roman" w:cs="Arial"/>
          <w:lang w:val="el-GR"/>
        </w:rPr>
        <w:t xml:space="preserve"> (Υγεία &amp; Φάρμακα, Αγροδιατροφή, Τεχνολογίες Πληροφορικής &amp; Επικοινωνιών, Περιβάλλον &amp; Βιώσιμη Ανάπτυξη, Ενέργεια, Υλικά &amp; Κατασκευές, Μεταφορές &amp; Εφοδιαστική Αλυσίδα και Πολιτισμός – Τουρισμός – Δημιουργική Βιομηχανία),</w:t>
      </w:r>
      <w:r w:rsidR="00396844">
        <w:rPr>
          <w:rFonts w:eastAsia="Times New Roman" w:cs="Arial"/>
          <w:lang w:val="el-GR"/>
        </w:rPr>
        <w:t xml:space="preserve"> όπως αναλύονται στο Παράρτημα 2</w:t>
      </w:r>
      <w:r w:rsidRPr="00B24AD4">
        <w:rPr>
          <w:rFonts w:eastAsia="Times New Roman" w:cs="Arial"/>
          <w:lang w:val="el-GR"/>
        </w:rPr>
        <w:t xml:space="preserve"> της Στρατηγικής</w:t>
      </w:r>
      <w:r w:rsidR="00396844">
        <w:rPr>
          <w:rFonts w:eastAsia="Times New Roman" w:cs="Arial"/>
          <w:lang w:val="el-GR"/>
        </w:rPr>
        <w:t xml:space="preserve"> ΕΤΑΚ για τη Έξυπνη Εξειδίκευση (</w:t>
      </w:r>
      <w:r w:rsidR="00396844">
        <w:rPr>
          <w:rFonts w:eastAsia="Times New Roman" w:cs="Arial"/>
          <w:lang w:val="en-US"/>
        </w:rPr>
        <w:t>RIS</w:t>
      </w:r>
      <w:r w:rsidR="00396844" w:rsidRPr="00396844">
        <w:rPr>
          <w:rFonts w:eastAsia="Times New Roman" w:cs="Arial"/>
          <w:lang w:val="el-GR"/>
        </w:rPr>
        <w:t>3)</w:t>
      </w:r>
      <w:r w:rsidR="00396844">
        <w:rPr>
          <w:rFonts w:eastAsia="Times New Roman" w:cs="Arial"/>
          <w:lang w:val="el-GR"/>
        </w:rPr>
        <w:t>.</w:t>
      </w:r>
    </w:p>
    <w:p w:rsidR="0017349C" w:rsidRDefault="0017349C" w:rsidP="0017349C">
      <w:pPr>
        <w:pStyle w:val="a4"/>
        <w:spacing w:after="0" w:line="240" w:lineRule="auto"/>
        <w:jc w:val="both"/>
        <w:rPr>
          <w:rFonts w:eastAsia="Times New Roman" w:cs="Arial"/>
          <w:lang w:val="el-GR"/>
        </w:rPr>
      </w:pPr>
    </w:p>
    <w:p w:rsidR="00975922" w:rsidRPr="00B24AD4" w:rsidRDefault="0017349C" w:rsidP="0017349C">
      <w:pPr>
        <w:pStyle w:val="a4"/>
        <w:numPr>
          <w:ilvl w:val="0"/>
          <w:numId w:val="27"/>
        </w:numPr>
        <w:spacing w:after="0" w:line="240" w:lineRule="auto"/>
        <w:jc w:val="both"/>
        <w:rPr>
          <w:rFonts w:eastAsia="Times New Roman" w:cs="Arial"/>
          <w:lang w:val="el-GR"/>
        </w:rPr>
      </w:pPr>
      <w:r>
        <w:rPr>
          <w:rFonts w:eastAsia="Times New Roman" w:cs="Arial"/>
          <w:lang w:val="el-GR"/>
        </w:rPr>
        <w:t xml:space="preserve">Οι 7 ΕΥ του Ο.Χ. οι οποίες </w:t>
      </w:r>
      <w:r w:rsidR="00833D90" w:rsidRPr="00B24AD4">
        <w:rPr>
          <w:rFonts w:eastAsia="Times New Roman" w:cs="Arial"/>
          <w:lang w:val="el-GR"/>
        </w:rPr>
        <w:t>εντάχθηκαν στην δευτερεύουσα λίστα του Ο.Χ</w:t>
      </w:r>
      <w:r>
        <w:rPr>
          <w:rFonts w:eastAsia="Times New Roman" w:cs="Arial"/>
          <w:lang w:val="el-GR"/>
        </w:rPr>
        <w:t>.</w:t>
      </w:r>
    </w:p>
    <w:p w:rsidR="00833D90" w:rsidRDefault="00833D90" w:rsidP="00833D90">
      <w:pPr>
        <w:spacing w:line="240" w:lineRule="auto"/>
        <w:jc w:val="both"/>
        <w:rPr>
          <w:rFonts w:cs="Arial"/>
          <w:lang w:val="el-GR"/>
        </w:rPr>
      </w:pPr>
    </w:p>
    <w:p w:rsidR="00833D90" w:rsidRPr="00B24AD4" w:rsidRDefault="00833D90" w:rsidP="00833D90">
      <w:pPr>
        <w:spacing w:line="240" w:lineRule="auto"/>
        <w:jc w:val="both"/>
        <w:rPr>
          <w:rFonts w:cs="Arial"/>
          <w:lang w:val="el-GR"/>
        </w:rPr>
      </w:pPr>
      <w:r w:rsidRPr="00B24AD4">
        <w:rPr>
          <w:rFonts w:cs="Arial"/>
          <w:lang w:val="el-GR"/>
        </w:rPr>
        <w:t xml:space="preserve">Επιπρόσθετα, προκειμένου να καλυφθούν οι ανάγκες ανάπτυξης ερευνητικών υποδομών στο σύνολο των στρατηγικών προτεραιοτήτων της </w:t>
      </w:r>
      <w:r w:rsidRPr="00B24AD4">
        <w:rPr>
          <w:rFonts w:cs="Arial"/>
        </w:rPr>
        <w:t>RIS</w:t>
      </w:r>
      <w:r w:rsidRPr="00B24AD4">
        <w:rPr>
          <w:rFonts w:cs="Arial"/>
          <w:lang w:val="el-GR"/>
        </w:rPr>
        <w:t xml:space="preserve">3, </w:t>
      </w:r>
      <w:r w:rsidR="0017349C">
        <w:rPr>
          <w:rFonts w:cs="Arial"/>
          <w:lang w:val="el-GR"/>
        </w:rPr>
        <w:t xml:space="preserve">η πρόσκληση περιλαμβάνει </w:t>
      </w:r>
      <w:r w:rsidR="005C7F53">
        <w:rPr>
          <w:rFonts w:cs="Arial"/>
          <w:lang w:val="el-GR"/>
        </w:rPr>
        <w:t xml:space="preserve">και νέες </w:t>
      </w:r>
      <w:r w:rsidR="0017349C">
        <w:rPr>
          <w:rFonts w:cs="Arial"/>
          <w:lang w:val="el-GR"/>
        </w:rPr>
        <w:t>Ε</w:t>
      </w:r>
      <w:r w:rsidR="005C7F53">
        <w:rPr>
          <w:rFonts w:cs="Arial"/>
          <w:lang w:val="el-GR"/>
        </w:rPr>
        <w:t>.</w:t>
      </w:r>
      <w:r w:rsidR="0017349C">
        <w:rPr>
          <w:rFonts w:cs="Arial"/>
          <w:lang w:val="el-GR"/>
        </w:rPr>
        <w:t>Υ</w:t>
      </w:r>
      <w:r w:rsidR="005C7F53">
        <w:rPr>
          <w:rFonts w:cs="Arial"/>
          <w:lang w:val="el-GR"/>
        </w:rPr>
        <w:t xml:space="preserve">. </w:t>
      </w:r>
      <w:r w:rsidR="0017349C">
        <w:rPr>
          <w:rFonts w:cs="Arial"/>
          <w:lang w:val="el-GR"/>
        </w:rPr>
        <w:t xml:space="preserve"> </w:t>
      </w:r>
      <w:r w:rsidRPr="00B24AD4">
        <w:rPr>
          <w:rFonts w:cs="Arial"/>
          <w:lang w:val="el-GR"/>
        </w:rPr>
        <w:t>στους παρακάτω τομείς:</w:t>
      </w:r>
    </w:p>
    <w:p w:rsidR="00833D90" w:rsidRPr="00B24AD4" w:rsidRDefault="0017349C" w:rsidP="00833D90">
      <w:pPr>
        <w:pStyle w:val="a4"/>
        <w:numPr>
          <w:ilvl w:val="0"/>
          <w:numId w:val="4"/>
        </w:numPr>
        <w:spacing w:after="0" w:line="240" w:lineRule="auto"/>
        <w:jc w:val="both"/>
        <w:rPr>
          <w:rFonts w:eastAsia="Times New Roman" w:cs="Arial"/>
        </w:rPr>
      </w:pPr>
      <w:r>
        <w:rPr>
          <w:rFonts w:eastAsia="Times New Roman" w:cs="Arial"/>
          <w:lang w:val="el-GR"/>
        </w:rPr>
        <w:t xml:space="preserve">Αγροδιατροφή </w:t>
      </w:r>
    </w:p>
    <w:p w:rsidR="00833D90" w:rsidRPr="0017349C" w:rsidRDefault="00833D90" w:rsidP="00833D90">
      <w:pPr>
        <w:pStyle w:val="a4"/>
        <w:numPr>
          <w:ilvl w:val="0"/>
          <w:numId w:val="4"/>
        </w:numPr>
        <w:spacing w:after="0" w:line="240" w:lineRule="auto"/>
        <w:jc w:val="both"/>
        <w:rPr>
          <w:rFonts w:eastAsia="Times New Roman" w:cs="Arial"/>
          <w:lang w:val="el-GR"/>
        </w:rPr>
      </w:pPr>
      <w:r w:rsidRPr="0017349C">
        <w:rPr>
          <w:rFonts w:eastAsia="Times New Roman" w:cs="Arial"/>
          <w:lang w:val="el-GR"/>
        </w:rPr>
        <w:t xml:space="preserve">Μεταφορές </w:t>
      </w:r>
      <w:r w:rsidR="0017349C">
        <w:rPr>
          <w:rFonts w:eastAsia="Times New Roman" w:cs="Arial"/>
          <w:lang w:val="el-GR"/>
        </w:rPr>
        <w:t>και</w:t>
      </w:r>
      <w:r w:rsidRPr="0017349C">
        <w:rPr>
          <w:rFonts w:eastAsia="Times New Roman" w:cs="Arial"/>
          <w:lang w:val="el-GR"/>
        </w:rPr>
        <w:t xml:space="preserve"> Εφοδιαστική </w:t>
      </w:r>
      <w:r w:rsidR="0017349C">
        <w:rPr>
          <w:rFonts w:eastAsia="Times New Roman" w:cs="Arial"/>
          <w:lang w:val="el-GR"/>
        </w:rPr>
        <w:t xml:space="preserve">Αλυσίδα </w:t>
      </w:r>
      <w:r w:rsidRPr="0017349C">
        <w:rPr>
          <w:rFonts w:eastAsia="Times New Roman" w:cs="Arial"/>
          <w:lang w:val="el-GR"/>
        </w:rPr>
        <w:t>και</w:t>
      </w:r>
    </w:p>
    <w:p w:rsidR="00833D90" w:rsidRPr="00B24AD4" w:rsidRDefault="0017349C" w:rsidP="00833D90">
      <w:pPr>
        <w:pStyle w:val="a4"/>
        <w:numPr>
          <w:ilvl w:val="0"/>
          <w:numId w:val="4"/>
        </w:numPr>
        <w:spacing w:after="0" w:line="240" w:lineRule="auto"/>
        <w:jc w:val="both"/>
        <w:rPr>
          <w:rFonts w:eastAsia="Times New Roman" w:cs="Arial"/>
        </w:rPr>
      </w:pPr>
      <w:r>
        <w:rPr>
          <w:rFonts w:eastAsia="Times New Roman" w:cs="Arial"/>
          <w:lang w:val="el-GR"/>
        </w:rPr>
        <w:t xml:space="preserve">Τουρισμός </w:t>
      </w:r>
    </w:p>
    <w:p w:rsidR="00975922" w:rsidRPr="00B24AD4" w:rsidRDefault="00975922" w:rsidP="00975922">
      <w:pPr>
        <w:spacing w:after="0" w:line="240" w:lineRule="auto"/>
        <w:jc w:val="both"/>
        <w:rPr>
          <w:rFonts w:eastAsia="Times New Roman" w:cs="Arial"/>
          <w:lang w:val="el-GR"/>
        </w:rPr>
      </w:pPr>
    </w:p>
    <w:p w:rsidR="00975922" w:rsidRPr="00B24AD4" w:rsidRDefault="00975922" w:rsidP="00975922">
      <w:pPr>
        <w:spacing w:after="0" w:line="240" w:lineRule="auto"/>
        <w:rPr>
          <w:rFonts w:eastAsia="Times New Roman" w:cs="Arial"/>
          <w:lang w:val="el-GR"/>
        </w:rPr>
      </w:pPr>
    </w:p>
    <w:p w:rsidR="00975922" w:rsidRPr="00B24AD4" w:rsidRDefault="000D3F9D" w:rsidP="00975922">
      <w:pPr>
        <w:spacing w:after="0" w:line="240" w:lineRule="auto"/>
        <w:jc w:val="both"/>
        <w:rPr>
          <w:rFonts w:eastAsia="Times New Roman" w:cs="Arial"/>
          <w:lang w:val="el-GR"/>
        </w:rPr>
      </w:pPr>
      <w:r>
        <w:rPr>
          <w:rFonts w:eastAsia="Times New Roman" w:cs="Arial"/>
          <w:lang w:val="el-GR"/>
        </w:rPr>
        <w:t>Η παραπάνω διαδικασία</w:t>
      </w:r>
      <w:r w:rsidR="006666C7">
        <w:rPr>
          <w:rFonts w:eastAsia="Times New Roman" w:cs="Arial"/>
          <w:lang w:val="el-GR"/>
        </w:rPr>
        <w:t xml:space="preserve"> </w:t>
      </w:r>
      <w:r w:rsidR="00975922" w:rsidRPr="00B24AD4">
        <w:rPr>
          <w:rFonts w:eastAsia="Times New Roman" w:cs="Arial"/>
          <w:lang w:val="el-GR"/>
        </w:rPr>
        <w:t>θα οδηγήσ</w:t>
      </w:r>
      <w:r>
        <w:rPr>
          <w:rFonts w:eastAsia="Times New Roman" w:cs="Arial"/>
          <w:lang w:val="el-GR"/>
        </w:rPr>
        <w:t>ει</w:t>
      </w:r>
      <w:r w:rsidR="00975922" w:rsidRPr="00B24AD4">
        <w:rPr>
          <w:rFonts w:eastAsia="Times New Roman" w:cs="Arial"/>
          <w:lang w:val="el-GR"/>
        </w:rPr>
        <w:t xml:space="preserve"> στην </w:t>
      </w:r>
      <w:r w:rsidR="00975922" w:rsidRPr="00B24AD4">
        <w:rPr>
          <w:rFonts w:eastAsia="Times New Roman" w:cs="Arial"/>
          <w:b/>
          <w:lang w:val="el-GR"/>
        </w:rPr>
        <w:t>οριστικοποίηση του Πολυετούς Χρηματοδοτικού Σχεδίου των Ερευνητικών Υποδομών, καθώς και σ</w:t>
      </w:r>
      <w:r>
        <w:rPr>
          <w:rFonts w:eastAsia="Times New Roman" w:cs="Arial"/>
          <w:b/>
          <w:lang w:val="el-GR"/>
        </w:rPr>
        <w:t>την επέκταση</w:t>
      </w:r>
      <w:r w:rsidR="00975922" w:rsidRPr="00B24AD4">
        <w:rPr>
          <w:rFonts w:eastAsia="Times New Roman" w:cs="Arial"/>
          <w:b/>
          <w:lang w:val="el-GR"/>
        </w:rPr>
        <w:t>/συμπλήρωση του Εθνικού Οδικού Χάρτη</w:t>
      </w:r>
      <w:r w:rsidR="00975922" w:rsidRPr="00B24AD4">
        <w:rPr>
          <w:rFonts w:eastAsia="Times New Roman" w:cs="Arial"/>
          <w:lang w:val="el-GR"/>
        </w:rPr>
        <w:t>. Η μεθοδολογία και</w:t>
      </w:r>
      <w:r w:rsidR="006666C7">
        <w:rPr>
          <w:rFonts w:eastAsia="Times New Roman" w:cs="Arial"/>
          <w:lang w:val="el-GR"/>
        </w:rPr>
        <w:t xml:space="preserve"> τα κριτήρια αξιολόγησης έχουν </w:t>
      </w:r>
      <w:r w:rsidR="00975922" w:rsidRPr="00B24AD4">
        <w:rPr>
          <w:rFonts w:eastAsia="Times New Roman" w:cs="Arial"/>
          <w:lang w:val="el-GR"/>
        </w:rPr>
        <w:t>από κοινού συμφωνηθεί μεταξύ των Ελληνικών αρχών και της Ευρωπαϊκής Επιτροπής και περιγράφονται αναλυτικά στα κεφάλαια που ακολουθούν.</w:t>
      </w:r>
    </w:p>
    <w:p w:rsidR="00975922" w:rsidRPr="00B24AD4" w:rsidRDefault="00975922" w:rsidP="00975922">
      <w:pPr>
        <w:spacing w:after="0" w:line="240" w:lineRule="auto"/>
        <w:rPr>
          <w:rFonts w:eastAsia="Times New Roman" w:cs="Arial"/>
          <w:lang w:val="el-GR"/>
        </w:rPr>
      </w:pPr>
    </w:p>
    <w:p w:rsidR="00975922" w:rsidRPr="00B24AD4" w:rsidRDefault="00975922" w:rsidP="00975922">
      <w:pPr>
        <w:spacing w:after="0" w:line="240" w:lineRule="auto"/>
        <w:jc w:val="both"/>
        <w:rPr>
          <w:rFonts w:eastAsia="Times New Roman" w:cs="Arial"/>
          <w:b/>
          <w:lang w:val="el-GR"/>
        </w:rPr>
      </w:pPr>
      <w:r w:rsidRPr="00B24AD4">
        <w:rPr>
          <w:rFonts w:eastAsia="Times New Roman" w:cs="Arial"/>
          <w:b/>
          <w:lang w:val="el-GR"/>
        </w:rPr>
        <w:t xml:space="preserve">Σημειώνεται ότι η οριστικοποίηση του Εθνικού Οδικού Χάρτη και του πολυετούς Σχεδίου Χρηματοδότησης  των Ερευνητικών Υποδομών θα πρέπει να έχει ολοκληρωθεί έως το τέλος του 2016, προκειμένου να εκπληρωθεί η σχετική εκ των προτέρων αιρεσιμότητα. </w:t>
      </w:r>
    </w:p>
    <w:p w:rsidR="00975922" w:rsidRPr="00B24AD4" w:rsidRDefault="00975922" w:rsidP="00975922">
      <w:pPr>
        <w:spacing w:after="0" w:line="240" w:lineRule="auto"/>
        <w:rPr>
          <w:rFonts w:eastAsia="Times New Roman" w:cs="Arial"/>
          <w:b/>
          <w:lang w:val="el-GR"/>
        </w:rPr>
      </w:pPr>
    </w:p>
    <w:p w:rsidR="007C1ACE" w:rsidRPr="00B24AD4" w:rsidRDefault="007C1ACE" w:rsidP="00975922">
      <w:pPr>
        <w:spacing w:after="0" w:line="240" w:lineRule="auto"/>
        <w:jc w:val="both"/>
        <w:rPr>
          <w:rFonts w:eastAsia="Times New Roman" w:cs="Arial"/>
          <w:lang w:val="el-GR"/>
        </w:rPr>
      </w:pPr>
      <w:r w:rsidRPr="00B24AD4">
        <w:rPr>
          <w:rFonts w:eastAsia="Times New Roman" w:cs="Arial"/>
          <w:lang w:val="el-GR"/>
        </w:rPr>
        <w:t>Στις ενότητες που ακολουθούν δίδονται οι προϋποθέσεις συμμετοχής,</w:t>
      </w:r>
      <w:r w:rsidR="006A7E47" w:rsidRPr="00B24AD4">
        <w:rPr>
          <w:rFonts w:eastAsia="Times New Roman" w:cs="Arial"/>
          <w:lang w:val="el-GR"/>
        </w:rPr>
        <w:t xml:space="preserve"> </w:t>
      </w:r>
      <w:r w:rsidR="00C34142" w:rsidRPr="00B24AD4">
        <w:rPr>
          <w:rFonts w:eastAsia="Times New Roman" w:cs="Arial"/>
          <w:lang w:val="el-GR"/>
        </w:rPr>
        <w:t xml:space="preserve">οι επιλέξιμες ενέργειες και δαπάνες, </w:t>
      </w:r>
      <w:r w:rsidRPr="00B24AD4">
        <w:rPr>
          <w:rFonts w:eastAsia="Times New Roman" w:cs="Arial"/>
          <w:lang w:val="el-GR"/>
        </w:rPr>
        <w:t xml:space="preserve">τα κριτήρια αξιολόγησης και τα έντυπα υποβολής προτάσεων. </w:t>
      </w:r>
    </w:p>
    <w:p w:rsidR="007C1ACE" w:rsidRPr="00B24AD4" w:rsidRDefault="007C1ACE" w:rsidP="00975922">
      <w:pPr>
        <w:spacing w:after="0" w:line="240" w:lineRule="auto"/>
        <w:jc w:val="both"/>
        <w:rPr>
          <w:rFonts w:eastAsia="Times New Roman" w:cs="Arial"/>
          <w:strike/>
          <w:lang w:val="el-GR"/>
        </w:rPr>
      </w:pPr>
    </w:p>
    <w:p w:rsidR="007C1ACE" w:rsidRPr="00B24AD4" w:rsidRDefault="007C1ACE" w:rsidP="00975922">
      <w:pPr>
        <w:spacing w:after="0" w:line="240" w:lineRule="auto"/>
        <w:jc w:val="both"/>
        <w:rPr>
          <w:rFonts w:eastAsia="Times New Roman" w:cs="Arial"/>
          <w:lang w:val="el-GR"/>
        </w:rPr>
      </w:pPr>
      <w:r w:rsidRPr="00B24AD4">
        <w:rPr>
          <w:rFonts w:eastAsia="Times New Roman" w:cs="Arial"/>
          <w:b/>
          <w:lang w:val="el-GR"/>
        </w:rPr>
        <w:t xml:space="preserve">Α. </w:t>
      </w:r>
      <w:r w:rsidR="00975922" w:rsidRPr="00B24AD4">
        <w:rPr>
          <w:rFonts w:eastAsia="Times New Roman" w:cs="Arial"/>
          <w:b/>
          <w:lang w:val="el-GR"/>
        </w:rPr>
        <w:t>Προϋποθέσεις Συμμετοχής</w:t>
      </w:r>
      <w:r w:rsidRPr="00B24AD4">
        <w:rPr>
          <w:rFonts w:eastAsia="Times New Roman" w:cs="Arial"/>
          <w:lang w:val="el-GR"/>
        </w:rPr>
        <w:t>: Στην παρούσα πρόσκληση μπορούν να συμμετέχουν ερευνητικοί φορείς</w:t>
      </w:r>
      <w:r w:rsidR="00624A48" w:rsidRPr="00B24AD4">
        <w:rPr>
          <w:rFonts w:eastAsia="Times New Roman" w:cs="Arial"/>
          <w:lang w:val="el-GR"/>
        </w:rPr>
        <w:t xml:space="preserve"> (σύμφωνα με τον ορισμό του </w:t>
      </w:r>
      <w:r w:rsidR="00624A48" w:rsidRPr="005C7F53">
        <w:rPr>
          <w:rFonts w:eastAsia="Times New Roman" w:cs="Arial"/>
          <w:lang w:val="el-GR"/>
        </w:rPr>
        <w:t>Ν.4386/2016)</w:t>
      </w:r>
      <w:r w:rsidR="004C1079" w:rsidRPr="00B24AD4">
        <w:rPr>
          <w:rFonts w:eastAsia="Times New Roman" w:cs="Arial"/>
          <w:lang w:val="el-GR"/>
        </w:rPr>
        <w:t xml:space="preserve">: </w:t>
      </w:r>
      <w:r w:rsidR="00250698">
        <w:rPr>
          <w:rFonts w:eastAsia="Times New Roman" w:cs="Arial"/>
          <w:lang w:val="el-GR"/>
        </w:rPr>
        <w:t>ε</w:t>
      </w:r>
      <w:r w:rsidR="00250698" w:rsidRPr="00B24AD4">
        <w:rPr>
          <w:rFonts w:eastAsia="Times New Roman" w:cs="Arial"/>
          <w:lang w:val="el-GR"/>
        </w:rPr>
        <w:t xml:space="preserve">ρευνητικά </w:t>
      </w:r>
      <w:r w:rsidR="00250698">
        <w:rPr>
          <w:rFonts w:eastAsia="Times New Roman" w:cs="Arial"/>
          <w:lang w:val="el-GR"/>
        </w:rPr>
        <w:t>κ</w:t>
      </w:r>
      <w:r w:rsidR="00250698" w:rsidRPr="00B24AD4">
        <w:rPr>
          <w:rFonts w:eastAsia="Times New Roman" w:cs="Arial"/>
          <w:lang w:val="el-GR"/>
        </w:rPr>
        <w:t>έντρα</w:t>
      </w:r>
      <w:r w:rsidR="004C1079" w:rsidRPr="00B24AD4">
        <w:rPr>
          <w:rFonts w:eastAsia="Times New Roman" w:cs="Arial"/>
          <w:lang w:val="el-GR"/>
        </w:rPr>
        <w:t xml:space="preserve">, </w:t>
      </w:r>
      <w:r w:rsidRPr="00B24AD4">
        <w:rPr>
          <w:rFonts w:eastAsia="Times New Roman" w:cs="Arial"/>
          <w:lang w:val="el-GR"/>
        </w:rPr>
        <w:t xml:space="preserve">τεχνολογικοί φορείς και ανώτατα εκπαιδευτικά ιδρύματα. </w:t>
      </w:r>
    </w:p>
    <w:p w:rsidR="004C1079" w:rsidRPr="00B24AD4" w:rsidRDefault="007C1ACE" w:rsidP="00975922">
      <w:pPr>
        <w:spacing w:after="0" w:line="240" w:lineRule="auto"/>
        <w:jc w:val="both"/>
        <w:rPr>
          <w:rFonts w:eastAsia="Times New Roman" w:cs="Arial"/>
          <w:lang w:val="el-GR"/>
        </w:rPr>
      </w:pPr>
      <w:r w:rsidRPr="00B24AD4">
        <w:rPr>
          <w:rFonts w:eastAsia="Times New Roman" w:cs="Arial"/>
          <w:lang w:val="el-GR"/>
        </w:rPr>
        <w:t>Οι προτάσεις που θα υποβληθούν θα πρέπει να συνοδεύονται από γραπτή επιστολή υποστήριξης από τον</w:t>
      </w:r>
      <w:r w:rsidR="003D5DDE">
        <w:rPr>
          <w:rFonts w:eastAsia="Times New Roman" w:cs="Arial"/>
          <w:lang w:val="el-GR"/>
        </w:rPr>
        <w:t xml:space="preserve"> νόμιμο εκπρόσωπο </w:t>
      </w:r>
      <w:r w:rsidRPr="00B24AD4">
        <w:rPr>
          <w:rFonts w:eastAsia="Times New Roman" w:cs="Arial"/>
          <w:lang w:val="el-GR"/>
        </w:rPr>
        <w:t>του ερευνητικού φορέα</w:t>
      </w:r>
      <w:r w:rsidR="003D5DDE">
        <w:rPr>
          <w:rFonts w:eastAsia="Times New Roman" w:cs="Arial"/>
          <w:lang w:val="el-GR"/>
        </w:rPr>
        <w:t xml:space="preserve"> και </w:t>
      </w:r>
      <w:r w:rsidRPr="00B24AD4">
        <w:rPr>
          <w:rFonts w:eastAsia="Times New Roman" w:cs="Arial"/>
          <w:lang w:val="el-GR"/>
        </w:rPr>
        <w:t xml:space="preserve">. </w:t>
      </w:r>
    </w:p>
    <w:p w:rsidR="00975922" w:rsidRPr="00B24AD4" w:rsidRDefault="004C1079" w:rsidP="00975922">
      <w:pPr>
        <w:spacing w:after="0" w:line="240" w:lineRule="auto"/>
        <w:jc w:val="both"/>
        <w:rPr>
          <w:rFonts w:eastAsia="Times New Roman" w:cs="Arial"/>
          <w:lang w:val="el-GR"/>
        </w:rPr>
      </w:pPr>
      <w:r w:rsidRPr="00B24AD4">
        <w:rPr>
          <w:rFonts w:eastAsia="Times New Roman" w:cs="Arial"/>
          <w:lang w:val="el-GR"/>
        </w:rPr>
        <w:t xml:space="preserve">Λόγω του ότι η παρούσα πρόσκληση αφορά επενδύσεις μεγαλύτερης κλίμακας από τα συνήθη ερευνητικά έργα συνιστάται ο περιορισμός του αριθμού των προτάσεων που θα υποβληθούν ανά φορέα καθώς στην αξιολόγηση θα συνεκτιμηθεί η ικανότητα των φορέων να ανταπεξέλθουν στις αυξημένες υποχρεώσεις που συνεπάγεται ο συντονισμός και η λειτουργία μιας ερευνητικής υποδομής. </w:t>
      </w:r>
    </w:p>
    <w:p w:rsidR="00B5616A" w:rsidRPr="00CF29DB" w:rsidRDefault="00B5616A" w:rsidP="00975922">
      <w:pPr>
        <w:spacing w:after="0" w:line="240" w:lineRule="auto"/>
        <w:jc w:val="both"/>
        <w:rPr>
          <w:rFonts w:eastAsia="Times New Roman" w:cs="Arial"/>
          <w:b/>
          <w:lang w:val="el-GR"/>
        </w:rPr>
      </w:pPr>
    </w:p>
    <w:p w:rsidR="003E1817" w:rsidRPr="00DF4A89" w:rsidRDefault="00DF4A89" w:rsidP="00975922">
      <w:pPr>
        <w:spacing w:after="0" w:line="240" w:lineRule="auto"/>
        <w:jc w:val="both"/>
        <w:rPr>
          <w:rFonts w:eastAsia="Times New Roman" w:cs="Arial"/>
          <w:b/>
          <w:lang w:val="el-GR"/>
        </w:rPr>
      </w:pPr>
      <w:r>
        <w:rPr>
          <w:rFonts w:eastAsia="Times New Roman" w:cs="Arial"/>
          <w:b/>
          <w:lang w:val="el-GR"/>
        </w:rPr>
        <w:t>Β</w:t>
      </w:r>
      <w:r w:rsidRPr="00DF4A89">
        <w:rPr>
          <w:rFonts w:eastAsia="Times New Roman" w:cs="Arial"/>
          <w:b/>
          <w:lang w:val="el-GR"/>
        </w:rPr>
        <w:t xml:space="preserve">. </w:t>
      </w:r>
      <w:r w:rsidR="00935383" w:rsidRPr="00DF4A89">
        <w:rPr>
          <w:rFonts w:eastAsia="Times New Roman" w:cs="Arial"/>
          <w:b/>
          <w:lang w:val="el-GR"/>
        </w:rPr>
        <w:t xml:space="preserve"> Επιλέξιμες ενέργειες και δαπάνες</w:t>
      </w:r>
    </w:p>
    <w:p w:rsidR="002F7830" w:rsidRPr="00B24AD4" w:rsidRDefault="007F454B">
      <w:pPr>
        <w:spacing w:after="0" w:line="240" w:lineRule="auto"/>
        <w:jc w:val="both"/>
        <w:rPr>
          <w:rFonts w:eastAsia="Times New Roman" w:cs="Arial"/>
          <w:lang w:val="el-GR"/>
        </w:rPr>
      </w:pPr>
      <w:r w:rsidRPr="00B24AD4">
        <w:rPr>
          <w:rFonts w:eastAsia="Times New Roman" w:cs="Arial"/>
          <w:lang w:val="el-GR"/>
        </w:rPr>
        <w:t xml:space="preserve"> Επιλέξιμες ενέργειες στο πλαίσιο της παρούσας πρόσκλησης νοούνται:</w:t>
      </w:r>
    </w:p>
    <w:p w:rsidR="002F7830" w:rsidRPr="00B24AD4" w:rsidRDefault="002F7830">
      <w:pPr>
        <w:spacing w:after="0" w:line="240" w:lineRule="auto"/>
        <w:jc w:val="both"/>
        <w:rPr>
          <w:rFonts w:eastAsia="Times New Roman" w:cs="Arial"/>
          <w:lang w:val="el-GR"/>
        </w:rPr>
      </w:pPr>
    </w:p>
    <w:p w:rsidR="00833D90" w:rsidRPr="00833D90" w:rsidRDefault="00833D90" w:rsidP="00833D90">
      <w:pPr>
        <w:pStyle w:val="a4"/>
        <w:numPr>
          <w:ilvl w:val="1"/>
          <w:numId w:val="21"/>
        </w:numPr>
        <w:spacing w:after="0" w:line="240" w:lineRule="auto"/>
        <w:ind w:left="993" w:hanging="284"/>
        <w:jc w:val="both"/>
        <w:rPr>
          <w:rFonts w:eastAsia="Times New Roman" w:cs="Arial"/>
          <w:lang w:val="el-GR"/>
        </w:rPr>
      </w:pPr>
      <w:r>
        <w:rPr>
          <w:rFonts w:eastAsia="Times New Roman" w:cs="Arial"/>
          <w:b/>
          <w:lang w:val="el-GR"/>
        </w:rPr>
        <w:t xml:space="preserve">Παροχή πρόσβασης για </w:t>
      </w:r>
      <w:r w:rsidR="000D3F9D">
        <w:rPr>
          <w:rFonts w:eastAsia="Times New Roman" w:cs="Arial"/>
          <w:b/>
          <w:lang w:val="el-GR"/>
        </w:rPr>
        <w:t xml:space="preserve">υλοποίηση </w:t>
      </w:r>
      <w:r>
        <w:rPr>
          <w:rFonts w:eastAsia="Times New Roman" w:cs="Arial"/>
          <w:b/>
          <w:lang w:val="el-GR"/>
        </w:rPr>
        <w:t>ερευνητικών έργων υψηλής ποιότητας προς τον ακαδημαϊκό/ερευνητικό και επιχειρηματικό χώρο.</w:t>
      </w:r>
    </w:p>
    <w:p w:rsidR="00833D90" w:rsidRPr="00833D90" w:rsidRDefault="00833D90" w:rsidP="00833D90">
      <w:pPr>
        <w:pStyle w:val="a4"/>
        <w:spacing w:after="0" w:line="240" w:lineRule="auto"/>
        <w:ind w:left="993"/>
        <w:jc w:val="both"/>
        <w:rPr>
          <w:rFonts w:eastAsia="Times New Roman" w:cs="Arial"/>
          <w:lang w:val="el-GR"/>
        </w:rPr>
      </w:pPr>
    </w:p>
    <w:p w:rsidR="00833D90" w:rsidRPr="00833D90" w:rsidRDefault="000D3F9D" w:rsidP="00833D90">
      <w:pPr>
        <w:pStyle w:val="a4"/>
        <w:numPr>
          <w:ilvl w:val="1"/>
          <w:numId w:val="21"/>
        </w:numPr>
        <w:spacing w:after="0" w:line="240" w:lineRule="auto"/>
        <w:ind w:left="993" w:hanging="284"/>
        <w:jc w:val="both"/>
        <w:rPr>
          <w:rFonts w:eastAsia="Times New Roman" w:cs="Arial"/>
          <w:lang w:val="el-GR"/>
        </w:rPr>
      </w:pPr>
      <w:r>
        <w:rPr>
          <w:rFonts w:eastAsia="Times New Roman" w:cs="Arial"/>
          <w:b/>
          <w:lang w:val="el-GR"/>
        </w:rPr>
        <w:t>Ανάπτυξη συνεργατικών ερευνητικών έργων με στόχο τη βελτίωση της ποιότητας της παρεχόμενης πρόσβασης</w:t>
      </w:r>
      <w:r w:rsidR="00250698">
        <w:rPr>
          <w:rFonts w:eastAsia="Times New Roman" w:cs="Arial"/>
          <w:b/>
          <w:lang w:val="el-GR"/>
        </w:rPr>
        <w:t>.</w:t>
      </w:r>
    </w:p>
    <w:p w:rsidR="00833D90" w:rsidRPr="000D3F9D" w:rsidRDefault="00833D90" w:rsidP="00833D90">
      <w:pPr>
        <w:pStyle w:val="a4"/>
        <w:spacing w:after="0" w:line="240" w:lineRule="auto"/>
        <w:ind w:left="993"/>
        <w:jc w:val="both"/>
        <w:rPr>
          <w:rFonts w:eastAsia="Times New Roman" w:cs="Arial"/>
          <w:b/>
          <w:lang w:val="el-GR"/>
        </w:rPr>
      </w:pPr>
    </w:p>
    <w:p w:rsidR="002F7830" w:rsidRPr="000D3F9D" w:rsidRDefault="00935383" w:rsidP="00DF4A89">
      <w:pPr>
        <w:pStyle w:val="a4"/>
        <w:numPr>
          <w:ilvl w:val="1"/>
          <w:numId w:val="21"/>
        </w:numPr>
        <w:spacing w:after="0" w:line="240" w:lineRule="auto"/>
        <w:ind w:left="993" w:hanging="284"/>
        <w:jc w:val="both"/>
        <w:rPr>
          <w:rFonts w:eastAsia="Times New Roman" w:cs="Arial"/>
          <w:b/>
          <w:lang w:val="el-GR"/>
        </w:rPr>
      </w:pPr>
      <w:r w:rsidRPr="000D3F9D">
        <w:rPr>
          <w:rFonts w:eastAsia="Times New Roman" w:cs="Arial"/>
          <w:b/>
          <w:lang w:val="el-GR"/>
        </w:rPr>
        <w:t>Δικτύωση σε εθνικό και Ευρωπαϊκό</w:t>
      </w:r>
      <w:r w:rsidR="00250698">
        <w:rPr>
          <w:rFonts w:eastAsia="Times New Roman" w:cs="Arial"/>
          <w:b/>
          <w:lang w:val="el-GR"/>
        </w:rPr>
        <w:t>/διεθνές</w:t>
      </w:r>
      <w:r w:rsidRPr="000D3F9D">
        <w:rPr>
          <w:rFonts w:eastAsia="Times New Roman" w:cs="Arial"/>
          <w:b/>
          <w:lang w:val="el-GR"/>
        </w:rPr>
        <w:t xml:space="preserve"> επίπεδο</w:t>
      </w:r>
      <w:r w:rsidR="003D5DDE">
        <w:rPr>
          <w:rFonts w:eastAsia="Times New Roman" w:cs="Arial"/>
          <w:b/>
          <w:lang w:val="el-GR"/>
        </w:rPr>
        <w:t>.</w:t>
      </w:r>
    </w:p>
    <w:p w:rsidR="00250698" w:rsidRDefault="00250698" w:rsidP="0039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eastAsia="Times New Roman" w:cs="Arial"/>
          <w:lang w:val="el-GR"/>
        </w:rPr>
      </w:pPr>
    </w:p>
    <w:p w:rsidR="00A47EA0" w:rsidRPr="00396844" w:rsidRDefault="006666C7" w:rsidP="0039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rPr>
          <w:rFonts w:eastAsia="Times New Roman" w:cs="Arial"/>
          <w:lang w:val="el-GR"/>
        </w:rPr>
      </w:pPr>
      <w:r w:rsidRPr="00396844">
        <w:rPr>
          <w:rFonts w:eastAsia="Times New Roman" w:cs="Arial"/>
          <w:lang w:val="el-GR"/>
        </w:rPr>
        <w:t>Ε</w:t>
      </w:r>
      <w:r w:rsidR="00485492" w:rsidRPr="00396844">
        <w:rPr>
          <w:rFonts w:eastAsia="Times New Roman" w:cs="Arial"/>
          <w:lang w:val="el-GR"/>
        </w:rPr>
        <w:t>πιλέξιμες είναι οι παρακάτω δαπάνες:</w:t>
      </w:r>
    </w:p>
    <w:p w:rsidR="00DF4A89" w:rsidRPr="00CF29DB" w:rsidRDefault="00935383" w:rsidP="006666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right="-57"/>
        <w:rPr>
          <w:rFonts w:eastAsia="Times New Roman" w:cs="Arial"/>
          <w:lang w:val="el-GR"/>
        </w:rPr>
      </w:pPr>
      <w:r w:rsidRPr="006666C7">
        <w:rPr>
          <w:rFonts w:eastAsia="Times New Roman" w:cs="Arial"/>
          <w:b/>
          <w:lang w:val="el-GR"/>
        </w:rPr>
        <w:lastRenderedPageBreak/>
        <w:t>1)</w:t>
      </w:r>
      <w:r w:rsidRPr="00B24AD4">
        <w:rPr>
          <w:rFonts w:eastAsia="Times New Roman" w:cs="Arial"/>
          <w:lang w:val="el-GR"/>
        </w:rPr>
        <w:t xml:space="preserve"> </w:t>
      </w:r>
      <w:r w:rsidR="006666C7">
        <w:rPr>
          <w:rFonts w:eastAsia="Times New Roman" w:cs="Arial"/>
          <w:lang w:val="el-GR"/>
        </w:rPr>
        <w:t xml:space="preserve"> </w:t>
      </w:r>
      <w:r w:rsidRPr="00DF4A89">
        <w:rPr>
          <w:rFonts w:eastAsia="Times New Roman" w:cs="Arial"/>
          <w:b/>
          <w:lang w:val="el-GR"/>
        </w:rPr>
        <w:t>δαπάνες προσωπικού</w:t>
      </w:r>
      <w:r w:rsidRPr="00B24AD4">
        <w:rPr>
          <w:rFonts w:eastAsia="Times New Roman" w:cs="Arial"/>
          <w:lang w:val="el-GR"/>
        </w:rPr>
        <w:t xml:space="preserve">: </w:t>
      </w:r>
    </w:p>
    <w:p w:rsidR="00A47EA0" w:rsidRDefault="00935383" w:rsidP="003D5DDE">
      <w:pPr>
        <w:autoSpaceDE w:val="0"/>
        <w:autoSpaceDN w:val="0"/>
        <w:adjustRightInd w:val="0"/>
        <w:spacing w:after="0" w:line="240" w:lineRule="auto"/>
        <w:ind w:left="454"/>
        <w:jc w:val="both"/>
        <w:rPr>
          <w:rFonts w:eastAsia="Times New Roman" w:cs="Arial"/>
          <w:lang w:val="el-GR"/>
        </w:rPr>
      </w:pPr>
      <w:r w:rsidRPr="006666C7">
        <w:rPr>
          <w:rFonts w:eastAsia="Times New Roman" w:cs="Arial"/>
          <w:b/>
          <w:lang w:val="el-GR"/>
        </w:rPr>
        <w:t>α) νέου προσωπικού</w:t>
      </w:r>
      <w:r w:rsidRPr="006666C7">
        <w:rPr>
          <w:rFonts w:eastAsia="Times New Roman" w:cs="Arial"/>
          <w:lang w:val="el-GR"/>
        </w:rPr>
        <w:t>, επί συμβάσει: ερευνητές, κυρίως νέοι επιστήμονες μετα-διδακτορικού επιπέδου, τεχνικοί και λοιπό υποστηρικτικό προσωπικό στον βαθμό, που απασχολούνται στο έργο</w:t>
      </w:r>
      <w:r w:rsidR="008F2F7D">
        <w:rPr>
          <w:rFonts w:eastAsia="Times New Roman" w:cs="Arial"/>
          <w:lang w:val="el-GR"/>
        </w:rPr>
        <w:t>.</w:t>
      </w:r>
      <w:r w:rsidR="008F2F7D" w:rsidRPr="006666C7">
        <w:rPr>
          <w:rFonts w:eastAsia="Times New Roman" w:cs="Arial"/>
          <w:lang w:val="el-GR"/>
        </w:rPr>
        <w:t xml:space="preserve"> </w:t>
      </w:r>
      <w:r w:rsidRPr="006666C7">
        <w:rPr>
          <w:rFonts w:eastAsia="Times New Roman" w:cs="Arial"/>
          <w:lang w:val="el-GR"/>
        </w:rPr>
        <w:t xml:space="preserve">Διευκρινίζεται ότι για τους μεταδιδάκτορες </w:t>
      </w:r>
      <w:r w:rsidR="003D5DDE" w:rsidRPr="003D5DDE">
        <w:rPr>
          <w:rFonts w:eastAsia="Times New Roman" w:cs="Arial"/>
          <w:lang w:val="el-GR"/>
        </w:rPr>
        <w:t xml:space="preserve">οι κάθε είδους αμοιβές που λαμβάνουν  αντιστοιχούν κατ’ ελάχιστο στο 90% των αντίστοιχων αμοιβών που λαμβάνουν ερευνητές Γ΄ βαθμίδας και δεν υπερβαίνει </w:t>
      </w:r>
      <w:r w:rsidRPr="006666C7">
        <w:rPr>
          <w:rFonts w:eastAsia="Times New Roman" w:cs="Arial"/>
          <w:lang w:val="el-GR"/>
        </w:rPr>
        <w:t xml:space="preserve">το ποσό των </w:t>
      </w:r>
      <w:r w:rsidR="003D5DDE">
        <w:rPr>
          <w:rFonts w:eastAsia="Times New Roman" w:cs="Arial"/>
          <w:lang w:val="el-GR"/>
        </w:rPr>
        <w:t>3000</w:t>
      </w:r>
      <w:r w:rsidRPr="006666C7">
        <w:rPr>
          <w:rFonts w:eastAsia="Times New Roman" w:cs="Arial"/>
          <w:lang w:val="el-GR"/>
        </w:rPr>
        <w:t xml:space="preserve">€/μήνα (μικτά). Ενθαρρύνεται η απασχόληση τουλάχιστον 10 νέων μετα-διδακτόρων ερευνητών ανά υποδομή. </w:t>
      </w:r>
    </w:p>
    <w:p w:rsidR="003D5DDE" w:rsidRPr="006666C7" w:rsidRDefault="003D5DDE" w:rsidP="003D5DDE">
      <w:pPr>
        <w:autoSpaceDE w:val="0"/>
        <w:autoSpaceDN w:val="0"/>
        <w:adjustRightInd w:val="0"/>
        <w:spacing w:after="0" w:line="240" w:lineRule="auto"/>
        <w:ind w:left="454"/>
        <w:jc w:val="both"/>
        <w:rPr>
          <w:rFonts w:eastAsia="Times New Roman" w:cs="Arial"/>
          <w:lang w:val="el-GR"/>
        </w:rPr>
      </w:pPr>
    </w:p>
    <w:p w:rsidR="00A47EA0" w:rsidRPr="00B24AD4" w:rsidRDefault="00935383" w:rsidP="006666C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left="454" w:right="-57"/>
        <w:jc w:val="both"/>
        <w:rPr>
          <w:rFonts w:eastAsia="Times New Roman" w:cs="Arial"/>
          <w:lang w:val="el-GR"/>
        </w:rPr>
      </w:pPr>
      <w:r w:rsidRPr="00DF4A89">
        <w:rPr>
          <w:rFonts w:eastAsia="Times New Roman" w:cs="Arial"/>
          <w:b/>
          <w:lang w:val="el-GR"/>
        </w:rPr>
        <w:t>β) δαπάνες υφιστάμενου προσωπικού</w:t>
      </w:r>
      <w:r w:rsidRPr="00B24AD4">
        <w:rPr>
          <w:rFonts w:eastAsia="Times New Roman" w:cs="Arial"/>
          <w:lang w:val="el-GR"/>
        </w:rPr>
        <w:t xml:space="preserve"> με βάση το ποσοστό απασχόλησής τους στα έργα.   </w:t>
      </w:r>
    </w:p>
    <w:p w:rsidR="002F7830" w:rsidRDefault="006666C7" w:rsidP="0066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right="-57"/>
        <w:jc w:val="both"/>
        <w:rPr>
          <w:rFonts w:eastAsia="Times New Roman" w:cs="Arial"/>
          <w:lang w:val="el-GR"/>
        </w:rPr>
      </w:pPr>
      <w:r>
        <w:rPr>
          <w:rFonts w:eastAsia="Times New Roman" w:cs="Arial"/>
          <w:b/>
          <w:lang w:val="el-GR"/>
        </w:rPr>
        <w:t xml:space="preserve">2) </w:t>
      </w:r>
      <w:r w:rsidR="00935383" w:rsidRPr="00DF4A89">
        <w:rPr>
          <w:rFonts w:eastAsia="Times New Roman" w:cs="Arial"/>
          <w:b/>
          <w:lang w:val="el-GR"/>
        </w:rPr>
        <w:t>δαπάνες για πάγιο εξοπλισμό:</w:t>
      </w:r>
      <w:r w:rsidR="00DF4A89" w:rsidRPr="00DF4A89">
        <w:rPr>
          <w:rFonts w:eastAsia="Times New Roman" w:cs="Arial"/>
          <w:b/>
          <w:lang w:val="el-GR"/>
        </w:rPr>
        <w:t xml:space="preserve"> </w:t>
      </w:r>
      <w:r w:rsidR="00935383" w:rsidRPr="00DF4A89">
        <w:rPr>
          <w:rFonts w:eastAsia="Times New Roman" w:cs="Arial"/>
          <w:lang w:val="el-GR"/>
        </w:rPr>
        <w:t>δαπάνες οργάνων και εξοπλισμού, ιδίως για αναβάθμιση και επέκταση υφιστάμενου εξοπλισμού</w:t>
      </w:r>
      <w:r w:rsidR="008F2F7D">
        <w:rPr>
          <w:rFonts w:eastAsia="Times New Roman" w:cs="Arial"/>
          <w:lang w:val="el-GR"/>
        </w:rPr>
        <w:t xml:space="preserve">, </w:t>
      </w:r>
      <w:r w:rsidR="00935383" w:rsidRPr="00DF4A89">
        <w:rPr>
          <w:rFonts w:eastAsia="Times New Roman" w:cs="Arial"/>
          <w:lang w:val="el-GR"/>
        </w:rPr>
        <w:t>στον βαθμό και για όσο χρόνο χρησιμοποιούνται για το  έργο. Όταν τα όργανα και ο εξοπλισμός δεν χρησιμοποιούνται καθ' όλη τη διάρκεια ζωής  τους για το έργο, επιλέξιμες θεωρούνται μόνον οι δαπάνες απόσβεσης που αντιστοιχούν  στη διάρκεια του έργου, οι οποίες υπολογίζοντα</w:t>
      </w:r>
      <w:r>
        <w:rPr>
          <w:rFonts w:eastAsia="Times New Roman" w:cs="Arial"/>
          <w:lang w:val="el-GR"/>
        </w:rPr>
        <w:t>ι με βάση τις γενικά αποδεκτές λογιστικές αρχές</w:t>
      </w:r>
      <w:r w:rsidR="008F2F7D">
        <w:rPr>
          <w:rFonts w:eastAsia="Times New Roman" w:cs="Arial"/>
          <w:lang w:val="el-GR"/>
        </w:rPr>
        <w:t>.</w:t>
      </w:r>
    </w:p>
    <w:p w:rsidR="00A47EA0" w:rsidRPr="00B24AD4" w:rsidRDefault="00935383" w:rsidP="0066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7"/>
        <w:jc w:val="both"/>
        <w:rPr>
          <w:rFonts w:eastAsia="Times New Roman" w:cs="Arial"/>
          <w:lang w:val="el-GR"/>
        </w:rPr>
      </w:pPr>
      <w:r w:rsidRPr="00DF4A89">
        <w:rPr>
          <w:rFonts w:eastAsia="Times New Roman" w:cs="Arial"/>
          <w:b/>
          <w:lang w:val="el-GR"/>
        </w:rPr>
        <w:t>3) δαπάνες για ανάθεση έρευνας</w:t>
      </w:r>
      <w:r w:rsidRPr="00B24AD4">
        <w:rPr>
          <w:rFonts w:eastAsia="Times New Roman" w:cs="Arial"/>
          <w:lang w:val="el-GR"/>
        </w:rPr>
        <w:t xml:space="preserve"> επί συμβάσει, γνώσεις και διπλώματα ευρεσιτεχνίας που αγοράστηκαν ή ελήφθησαν με άδεια εκμετάλλευσης από εξωτερικές πηγές, καθώς και δαπάνες για συμβουλευτικές και ισοδύναμες υποστηρικτικές υπηρεσίες χρησιμοποιούμενες αποκλειστικά για το έργο· συμβουλευτικές υπηρεσίες είναι  η συνδρομή και η επαγγελματική κατάρτιση στους τομείς της μεταφοράς γνώσεων, της απόκτησης, της προστασίας και της εκμετάλλευσης άυλων στοιχείων ενεργητικού, της χρήσης προτύπων και κανονισμών, που τα εμπεριέχουν· υποστηρικτικές υπηρεσίες στον τομέα της καινοτομίας είναι η παροχή χώρων γραφείων, βάσεων δεδομένων, βιβλιοθηκών, έρευνας αγοράς, χρήσης εργαστηρίου, σήμανσης ποιότητας, δοκιμών και πιστοποίησης</w:t>
      </w:r>
      <w:r w:rsidR="008F2F7D">
        <w:rPr>
          <w:rFonts w:eastAsia="Times New Roman" w:cs="Arial"/>
          <w:lang w:val="el-GR"/>
        </w:rPr>
        <w:t>.</w:t>
      </w:r>
      <w:r w:rsidRPr="00B24AD4">
        <w:rPr>
          <w:rFonts w:eastAsia="Times New Roman" w:cs="Arial"/>
          <w:lang w:val="el-GR"/>
        </w:rPr>
        <w:t xml:space="preserve">* </w:t>
      </w:r>
    </w:p>
    <w:p w:rsidR="006666C7" w:rsidRDefault="0093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4" w:right="-57" w:hanging="425"/>
        <w:rPr>
          <w:rFonts w:eastAsia="Times New Roman" w:cs="Arial"/>
          <w:lang w:val="el-GR"/>
        </w:rPr>
      </w:pPr>
      <w:r w:rsidRPr="00B24AD4">
        <w:rPr>
          <w:rFonts w:eastAsia="Times New Roman" w:cs="Arial"/>
          <w:lang w:val="el-GR"/>
        </w:rPr>
        <w:t xml:space="preserve">        </w:t>
      </w:r>
      <w:r w:rsidR="006666C7">
        <w:rPr>
          <w:rFonts w:eastAsia="Times New Roman" w:cs="Arial"/>
          <w:b/>
          <w:lang w:val="el-GR"/>
        </w:rPr>
        <w:t>4</w:t>
      </w:r>
      <w:r w:rsidRPr="00DF4A89">
        <w:rPr>
          <w:rFonts w:eastAsia="Times New Roman" w:cs="Arial"/>
          <w:b/>
          <w:lang w:val="el-GR"/>
        </w:rPr>
        <w:t>) Μελέτες σκοπιμότητας</w:t>
      </w:r>
      <w:r w:rsidRPr="00B24AD4">
        <w:rPr>
          <w:rFonts w:eastAsia="Times New Roman" w:cs="Arial"/>
          <w:lang w:val="el-GR"/>
        </w:rPr>
        <w:t xml:space="preserve"> </w:t>
      </w:r>
    </w:p>
    <w:p w:rsidR="006666C7" w:rsidRPr="00B24AD4" w:rsidRDefault="0066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4" w:right="-57" w:hanging="425"/>
        <w:rPr>
          <w:rFonts w:eastAsia="Times New Roman" w:cs="Arial"/>
          <w:lang w:val="el-GR"/>
        </w:rPr>
      </w:pPr>
    </w:p>
    <w:p w:rsidR="006666C7" w:rsidRPr="00B24AD4" w:rsidRDefault="006666C7" w:rsidP="0066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4" w:right="-57" w:hanging="425"/>
        <w:jc w:val="both"/>
        <w:rPr>
          <w:rFonts w:eastAsia="Times New Roman" w:cs="Arial"/>
          <w:lang w:val="el-GR"/>
        </w:rPr>
      </w:pPr>
      <w:r w:rsidRPr="00DF4A89">
        <w:rPr>
          <w:rFonts w:eastAsia="Times New Roman" w:cs="Arial"/>
          <w:b/>
          <w:lang w:val="el-GR"/>
        </w:rPr>
        <w:t xml:space="preserve">        </w:t>
      </w:r>
      <w:r>
        <w:rPr>
          <w:rFonts w:eastAsia="Times New Roman" w:cs="Arial"/>
          <w:b/>
          <w:lang w:val="el-GR"/>
        </w:rPr>
        <w:t>5</w:t>
      </w:r>
      <w:r w:rsidRPr="00DF4A89">
        <w:rPr>
          <w:rFonts w:eastAsia="Times New Roman" w:cs="Arial"/>
          <w:b/>
          <w:lang w:val="el-GR"/>
        </w:rPr>
        <w:t>)πρόσθετα γενικά έξοδα</w:t>
      </w:r>
      <w:r w:rsidRPr="00B24AD4">
        <w:rPr>
          <w:rFonts w:eastAsia="Times New Roman" w:cs="Arial"/>
          <w:lang w:val="el-GR"/>
        </w:rPr>
        <w:t xml:space="preserve">, δαπάνες μετακινήσεων και φιλοξενίας με έμφαση σε δράσεις δικτύωσης και πρόσβασης στις υποδομές και λοιπές λειτουργικές δαπάνες, συμπεριλαμβανομένου του κόστους υλικών, εφοδίων και συναφών προϊόντων, που είναι άμεσο αποτέλεσμα του   έργου. </w:t>
      </w:r>
    </w:p>
    <w:p w:rsidR="00A47EA0" w:rsidRPr="00B24AD4" w:rsidRDefault="00A47EA0" w:rsidP="00A47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64" w:right="-284"/>
        <w:rPr>
          <w:rFonts w:eastAsia="Times New Roman" w:cs="Arial"/>
          <w:lang w:val="el-GR"/>
        </w:rPr>
      </w:pPr>
    </w:p>
    <w:p w:rsidR="00A47EA0" w:rsidRPr="00B24AD4" w:rsidRDefault="00935383" w:rsidP="00DF4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227"/>
        <w:jc w:val="both"/>
        <w:rPr>
          <w:rFonts w:eastAsia="Times New Roman" w:cs="Arial"/>
          <w:lang w:val="el-GR"/>
        </w:rPr>
      </w:pPr>
      <w:r w:rsidRPr="00B24AD4">
        <w:rPr>
          <w:rFonts w:eastAsia="Times New Roman" w:cs="Arial"/>
          <w:lang w:val="el-GR"/>
        </w:rPr>
        <w:t xml:space="preserve">Σημειώνεται ότι στην κατηγορία </w:t>
      </w:r>
      <w:r w:rsidR="008F2F7D">
        <w:rPr>
          <w:rFonts w:eastAsia="Times New Roman" w:cs="Arial"/>
          <w:lang w:val="el-GR"/>
        </w:rPr>
        <w:t>5</w:t>
      </w:r>
      <w:r w:rsidR="00A47EA0" w:rsidRPr="00B24AD4">
        <w:rPr>
          <w:rFonts w:eastAsia="Times New Roman" w:cs="Arial"/>
          <w:lang w:val="el-GR"/>
        </w:rPr>
        <w:t>)  «</w:t>
      </w:r>
      <w:r w:rsidRPr="00B24AD4">
        <w:rPr>
          <w:rFonts w:eastAsia="Times New Roman" w:cs="Arial"/>
          <w:lang w:val="el-GR"/>
        </w:rPr>
        <w:t>πρόσθετα γενικά έξοδα και λοιπές λειτουργικές δαπάνες</w:t>
      </w:r>
      <w:r w:rsidR="00A47EA0" w:rsidRPr="00B24AD4">
        <w:rPr>
          <w:rFonts w:eastAsia="Times New Roman" w:cs="Arial"/>
          <w:lang w:val="el-GR"/>
        </w:rPr>
        <w:t xml:space="preserve">» περιλαμβάνονται </w:t>
      </w:r>
      <w:r w:rsidRPr="00B24AD4">
        <w:rPr>
          <w:rFonts w:eastAsia="Times New Roman" w:cs="Arial"/>
          <w:lang w:val="el-GR"/>
        </w:rPr>
        <w:t xml:space="preserve">: α) Οι δαπάνες μετακινήσεων και φιλοξενίας </w:t>
      </w:r>
      <w:r w:rsidR="00A47EA0" w:rsidRPr="00B24AD4">
        <w:rPr>
          <w:rFonts w:eastAsia="Times New Roman" w:cs="Arial"/>
          <w:lang w:val="el-GR"/>
        </w:rPr>
        <w:t xml:space="preserve">που </w:t>
      </w:r>
      <w:r w:rsidRPr="00B24AD4">
        <w:rPr>
          <w:rFonts w:eastAsia="Times New Roman" w:cs="Arial"/>
          <w:lang w:val="el-GR"/>
        </w:rPr>
        <w:t>αποσκοπούν κυρίως στην ενίσχυση της πρόσβασης επιστημονικού και τεχνικού προσωπικού στις υποδομές και τεκμηριώνονται με παραστατικά. β) δύναται να υπολογίζεται ποσοστό έμμεσων δαπανών που επιβαρύνο</w:t>
      </w:r>
      <w:r w:rsidR="006666C7">
        <w:rPr>
          <w:rFonts w:eastAsia="Times New Roman" w:cs="Arial"/>
          <w:lang w:val="el-GR"/>
        </w:rPr>
        <w:t xml:space="preserve">υν το έργο και είναι επιλέξιμες </w:t>
      </w:r>
      <w:r w:rsidRPr="00B24AD4">
        <w:rPr>
          <w:rFonts w:eastAsia="Times New Roman" w:cs="Arial"/>
          <w:lang w:val="el-GR"/>
        </w:rPr>
        <w:t>χωρίς προσκόμιση των αντίστοιχων παραστατικών, ίσο ή μικρότερο του 25% επ</w:t>
      </w:r>
      <w:r w:rsidR="00A47EA0" w:rsidRPr="00B24AD4">
        <w:rPr>
          <w:rFonts w:eastAsia="Times New Roman" w:cs="Arial"/>
          <w:lang w:val="el-GR"/>
        </w:rPr>
        <w:t>ί των άμεσων επιλέξιμων δαπανών,</w:t>
      </w:r>
      <w:r w:rsidR="006666C7">
        <w:rPr>
          <w:rFonts w:eastAsia="Times New Roman" w:cs="Arial"/>
          <w:lang w:val="el-GR"/>
        </w:rPr>
        <w:t xml:space="preserve"> </w:t>
      </w:r>
      <w:r w:rsidRPr="00B24AD4">
        <w:rPr>
          <w:rFonts w:eastAsia="Times New Roman" w:cs="Arial"/>
          <w:lang w:val="el-GR"/>
        </w:rPr>
        <w:t>εξαιρουμένων των άμεσων επιλέξιμων δαπανών για υπεργολαβική ανάθεση.</w:t>
      </w:r>
    </w:p>
    <w:p w:rsidR="00975922" w:rsidRPr="00B24AD4" w:rsidRDefault="00C34142" w:rsidP="00975922">
      <w:pPr>
        <w:spacing w:after="0" w:line="240" w:lineRule="auto"/>
        <w:jc w:val="both"/>
        <w:rPr>
          <w:lang w:val="el-GR"/>
        </w:rPr>
      </w:pPr>
      <w:r w:rsidRPr="00B24AD4">
        <w:rPr>
          <w:rFonts w:eastAsia="Times New Roman" w:cs="Arial"/>
          <w:b/>
          <w:lang w:val="el-GR"/>
        </w:rPr>
        <w:t>Γ</w:t>
      </w:r>
      <w:r w:rsidR="000D3F9D">
        <w:rPr>
          <w:rFonts w:eastAsia="Times New Roman" w:cs="Arial"/>
          <w:b/>
          <w:lang w:val="el-GR"/>
        </w:rPr>
        <w:t>.</w:t>
      </w:r>
      <w:r w:rsidR="004C1079" w:rsidRPr="00B24AD4">
        <w:rPr>
          <w:rFonts w:eastAsia="Times New Roman" w:cs="Arial"/>
          <w:b/>
          <w:lang w:val="el-GR"/>
        </w:rPr>
        <w:t xml:space="preserve"> Κριτήρια Αξιολόγησης:</w:t>
      </w:r>
      <w:r w:rsidR="004C1079" w:rsidRPr="00B24AD4">
        <w:rPr>
          <w:rFonts w:eastAsia="Times New Roman" w:cs="Arial"/>
          <w:lang w:val="el-GR"/>
        </w:rPr>
        <w:t xml:space="preserve"> </w:t>
      </w:r>
      <w:r w:rsidR="003E1817" w:rsidRPr="00B24AD4">
        <w:rPr>
          <w:lang w:val="el-GR"/>
        </w:rPr>
        <w:t>Για την επιλογή των έργων που θα υποβληθούν στο πλαίσιο της παρούσας πρόσκλησης θα εφαρμοστούν όλα τα κριτήρια που ακολουθήθηκαν για τη διαμόρφωση του υφιστάμενου Ο.Χ. και για την επιλογή των Ε.Υ. που που θα χρηματοδοτηθούν σε πρώτη φάση με το 50% του συνολικού προϋπολογισμού.</w:t>
      </w:r>
    </w:p>
    <w:p w:rsidR="008F2F7D" w:rsidRDefault="008F2F7D" w:rsidP="00975922">
      <w:pPr>
        <w:spacing w:after="0" w:line="240" w:lineRule="auto"/>
        <w:jc w:val="both"/>
        <w:rPr>
          <w:lang w:val="el-GR"/>
        </w:rPr>
      </w:pPr>
    </w:p>
    <w:p w:rsidR="000F3CB9" w:rsidRDefault="000F3CB9">
      <w:pPr>
        <w:rPr>
          <w:lang w:val="el-GR"/>
        </w:rPr>
      </w:pPr>
      <w:r>
        <w:rPr>
          <w:lang w:val="el-GR"/>
        </w:rPr>
        <w:br w:type="page"/>
      </w:r>
    </w:p>
    <w:p w:rsidR="003E1817" w:rsidRDefault="003E1817" w:rsidP="00975922">
      <w:pPr>
        <w:spacing w:after="0" w:line="240" w:lineRule="auto"/>
        <w:jc w:val="both"/>
        <w:rPr>
          <w:lang w:val="el-GR"/>
        </w:rPr>
      </w:pPr>
      <w:r w:rsidRPr="00B24AD4">
        <w:rPr>
          <w:lang w:val="el-GR"/>
        </w:rPr>
        <w:lastRenderedPageBreak/>
        <w:t xml:space="preserve">Τα κριτήρια αξιολόγησης είναι </w:t>
      </w:r>
      <w:r w:rsidR="00C34142" w:rsidRPr="00B24AD4">
        <w:rPr>
          <w:lang w:val="el-GR"/>
        </w:rPr>
        <w:t>τα παρακάτω</w:t>
      </w:r>
      <w:r w:rsidRPr="00B24AD4">
        <w:rPr>
          <w:lang w:val="el-GR"/>
        </w:rPr>
        <w:t xml:space="preserve">: </w:t>
      </w:r>
    </w:p>
    <w:p w:rsidR="0058598D" w:rsidRPr="00B24AD4" w:rsidRDefault="0058598D" w:rsidP="0058598D">
      <w:pPr>
        <w:tabs>
          <w:tab w:val="left" w:pos="839"/>
          <w:tab w:val="center" w:pos="5233"/>
          <w:tab w:val="left" w:pos="5954"/>
        </w:tabs>
        <w:spacing w:after="120" w:line="240" w:lineRule="auto"/>
        <w:rPr>
          <w:b/>
          <w:i/>
          <w:color w:val="1F497D" w:themeColor="text2"/>
          <w:lang w:val="el-GR"/>
        </w:rPr>
      </w:pPr>
    </w:p>
    <w:p w:rsidR="0058598D" w:rsidRPr="00B24AD4" w:rsidRDefault="0058598D" w:rsidP="0058598D">
      <w:pPr>
        <w:pStyle w:val="a4"/>
        <w:numPr>
          <w:ilvl w:val="0"/>
          <w:numId w:val="13"/>
        </w:numPr>
        <w:pBdr>
          <w:top w:val="single" w:sz="4" w:space="1" w:color="auto"/>
          <w:left w:val="single" w:sz="4" w:space="4" w:color="auto"/>
          <w:bottom w:val="single" w:sz="4" w:space="1" w:color="auto"/>
          <w:right w:val="single" w:sz="4" w:space="4" w:color="auto"/>
        </w:pBdr>
        <w:shd w:val="clear" w:color="auto" w:fill="FFC000"/>
        <w:tabs>
          <w:tab w:val="left" w:pos="5954"/>
        </w:tabs>
        <w:spacing w:after="120" w:line="240" w:lineRule="auto"/>
        <w:jc w:val="both"/>
        <w:rPr>
          <w:lang w:val="en-US"/>
        </w:rPr>
      </w:pPr>
      <w:r w:rsidRPr="00B24AD4">
        <w:rPr>
          <w:b/>
          <w:lang w:val="en-US"/>
        </w:rPr>
        <w:t>ON/OFF criteria</w:t>
      </w:r>
    </w:p>
    <w:p w:rsidR="0058598D" w:rsidRPr="00B24AD4" w:rsidRDefault="0058598D" w:rsidP="0058598D">
      <w:pPr>
        <w:pStyle w:val="a4"/>
        <w:numPr>
          <w:ilvl w:val="0"/>
          <w:numId w:val="14"/>
        </w:numPr>
        <w:pBdr>
          <w:bottom w:val="single" w:sz="4" w:space="1" w:color="auto"/>
        </w:pBdr>
        <w:shd w:val="clear" w:color="auto" w:fill="D9D9D9" w:themeFill="background1" w:themeFillShade="D9"/>
        <w:tabs>
          <w:tab w:val="left" w:pos="5954"/>
        </w:tabs>
        <w:spacing w:after="120" w:line="240" w:lineRule="auto"/>
        <w:jc w:val="both"/>
        <w:rPr>
          <w:b/>
          <w:lang w:val="en-US"/>
        </w:rPr>
      </w:pPr>
      <w:r w:rsidRPr="00B24AD4">
        <w:rPr>
          <w:b/>
          <w:lang w:val="en-US"/>
        </w:rPr>
        <w:t xml:space="preserve">Compliance with the definition of research infrastructure </w:t>
      </w:r>
    </w:p>
    <w:p w:rsidR="0058598D" w:rsidRPr="00B24AD4" w:rsidRDefault="0058598D" w:rsidP="0058598D">
      <w:pPr>
        <w:pStyle w:val="a4"/>
        <w:tabs>
          <w:tab w:val="left" w:pos="5954"/>
        </w:tabs>
        <w:spacing w:after="120" w:line="240" w:lineRule="auto"/>
        <w:jc w:val="both"/>
        <w:rPr>
          <w:i/>
          <w:lang w:val="en-US"/>
        </w:rPr>
      </w:pPr>
      <w:r w:rsidRPr="00B24AD4">
        <w:rPr>
          <w:i/>
          <w:lang w:val="en-US"/>
        </w:rPr>
        <w:t>Reference to the definition of RIs in EU Regulation 651/26.6.2014</w:t>
      </w:r>
      <w:r w:rsidRPr="00B24AD4">
        <w:rPr>
          <w:rStyle w:val="ab"/>
          <w:i/>
          <w:lang w:val="en-US"/>
        </w:rPr>
        <w:endnoteReference w:id="1"/>
      </w:r>
    </w:p>
    <w:p w:rsidR="0058598D" w:rsidRPr="00B24AD4" w:rsidRDefault="0058598D" w:rsidP="0058598D">
      <w:pPr>
        <w:pStyle w:val="a4"/>
        <w:numPr>
          <w:ilvl w:val="0"/>
          <w:numId w:val="14"/>
        </w:numPr>
        <w:pBdr>
          <w:bottom w:val="single" w:sz="4" w:space="1" w:color="auto"/>
        </w:pBdr>
        <w:shd w:val="clear" w:color="auto" w:fill="D9D9D9" w:themeFill="background1" w:themeFillShade="D9"/>
        <w:tabs>
          <w:tab w:val="left" w:pos="5954"/>
        </w:tabs>
        <w:spacing w:after="120" w:line="240" w:lineRule="auto"/>
        <w:jc w:val="both"/>
        <w:rPr>
          <w:b/>
          <w:lang w:val="en-US"/>
        </w:rPr>
      </w:pPr>
      <w:r w:rsidRPr="00B24AD4">
        <w:rPr>
          <w:b/>
          <w:lang w:val="en-US"/>
        </w:rPr>
        <w:t>Contribution to the RIS3 priority areas:</w:t>
      </w:r>
    </w:p>
    <w:p w:rsidR="0058598D" w:rsidRPr="00B24AD4" w:rsidRDefault="0058598D" w:rsidP="0058598D">
      <w:pPr>
        <w:pStyle w:val="a4"/>
        <w:numPr>
          <w:ilvl w:val="0"/>
          <w:numId w:val="7"/>
        </w:numPr>
        <w:tabs>
          <w:tab w:val="left" w:pos="5954"/>
        </w:tabs>
        <w:spacing w:after="120" w:line="240" w:lineRule="auto"/>
        <w:jc w:val="both"/>
        <w:rPr>
          <w:lang w:val="en-US"/>
        </w:rPr>
      </w:pPr>
      <w:r w:rsidRPr="00B24AD4">
        <w:rPr>
          <w:lang w:val="en-US"/>
        </w:rPr>
        <w:t>Its main activities are fully aligned to product / process / organizational innovation of RIS3 priority sectors</w:t>
      </w:r>
    </w:p>
    <w:p w:rsidR="0058598D" w:rsidRPr="00B24AD4" w:rsidRDefault="0058598D" w:rsidP="0058598D">
      <w:pPr>
        <w:pStyle w:val="a4"/>
        <w:numPr>
          <w:ilvl w:val="0"/>
          <w:numId w:val="7"/>
        </w:numPr>
        <w:tabs>
          <w:tab w:val="left" w:pos="5954"/>
        </w:tabs>
        <w:spacing w:after="120" w:line="240" w:lineRule="auto"/>
        <w:jc w:val="both"/>
        <w:rPr>
          <w:lang w:val="en-US"/>
        </w:rPr>
      </w:pPr>
      <w:r w:rsidRPr="00B24AD4">
        <w:rPr>
          <w:lang w:val="en-US"/>
        </w:rPr>
        <w:t>The majority of the RI deliverables and services contribute to the RIS3 priority sectors</w:t>
      </w:r>
    </w:p>
    <w:p w:rsidR="0058598D" w:rsidRPr="00B24AD4" w:rsidRDefault="0058598D" w:rsidP="0058598D">
      <w:pPr>
        <w:pStyle w:val="a4"/>
        <w:tabs>
          <w:tab w:val="left" w:pos="5954"/>
        </w:tabs>
        <w:spacing w:after="120" w:line="240" w:lineRule="auto"/>
        <w:ind w:left="1080"/>
        <w:jc w:val="both"/>
        <w:rPr>
          <w:lang w:val="en-US"/>
        </w:rPr>
      </w:pPr>
    </w:p>
    <w:p w:rsidR="0058598D" w:rsidRPr="00B24AD4" w:rsidRDefault="0058598D" w:rsidP="0058598D">
      <w:pPr>
        <w:pStyle w:val="a4"/>
        <w:numPr>
          <w:ilvl w:val="0"/>
          <w:numId w:val="13"/>
        </w:numPr>
        <w:pBdr>
          <w:top w:val="single" w:sz="4" w:space="1" w:color="auto"/>
          <w:left w:val="single" w:sz="4" w:space="4" w:color="auto"/>
          <w:bottom w:val="single" w:sz="4" w:space="1" w:color="auto"/>
          <w:right w:val="single" w:sz="4" w:space="4" w:color="auto"/>
        </w:pBdr>
        <w:shd w:val="clear" w:color="auto" w:fill="9BBB59" w:themeFill="accent3"/>
        <w:tabs>
          <w:tab w:val="left" w:pos="5954"/>
        </w:tabs>
        <w:spacing w:after="120" w:line="240" w:lineRule="auto"/>
        <w:jc w:val="both"/>
        <w:rPr>
          <w:b/>
          <w:lang w:val="en-US"/>
        </w:rPr>
      </w:pPr>
      <w:r w:rsidRPr="00B24AD4">
        <w:rPr>
          <w:b/>
          <w:lang w:val="en-US"/>
        </w:rPr>
        <w:t xml:space="preserve">Ranking criteria </w:t>
      </w:r>
    </w:p>
    <w:p w:rsidR="0058598D" w:rsidRPr="00B24AD4" w:rsidRDefault="0058598D" w:rsidP="0058598D">
      <w:pPr>
        <w:pStyle w:val="a4"/>
        <w:numPr>
          <w:ilvl w:val="0"/>
          <w:numId w:val="15"/>
        </w:numPr>
        <w:pBdr>
          <w:bottom w:val="single" w:sz="4" w:space="1" w:color="auto"/>
        </w:pBdr>
        <w:shd w:val="clear" w:color="auto" w:fill="D9D9D9" w:themeFill="background1" w:themeFillShade="D9"/>
        <w:tabs>
          <w:tab w:val="left" w:pos="5954"/>
        </w:tabs>
        <w:spacing w:after="120" w:line="240" w:lineRule="auto"/>
        <w:rPr>
          <w:b/>
          <w:lang w:val="en-US"/>
        </w:rPr>
      </w:pPr>
      <w:r w:rsidRPr="00B24AD4">
        <w:rPr>
          <w:b/>
          <w:lang w:val="en-US"/>
        </w:rPr>
        <w:t>Scientific, technological potential and maturity of the RI (1-5)</w:t>
      </w:r>
    </w:p>
    <w:p w:rsidR="0058598D" w:rsidRPr="00B24AD4" w:rsidRDefault="0058598D" w:rsidP="0058598D">
      <w:pPr>
        <w:pStyle w:val="a4"/>
        <w:numPr>
          <w:ilvl w:val="0"/>
          <w:numId w:val="16"/>
        </w:numPr>
        <w:tabs>
          <w:tab w:val="left" w:pos="5954"/>
        </w:tabs>
        <w:spacing w:after="120" w:line="240" w:lineRule="auto"/>
        <w:jc w:val="both"/>
        <w:rPr>
          <w:i/>
          <w:lang w:val="en-US"/>
        </w:rPr>
      </w:pPr>
      <w:r w:rsidRPr="00B24AD4">
        <w:rPr>
          <w:lang w:val="en-US"/>
        </w:rPr>
        <w:t xml:space="preserve">Scientific excellence </w:t>
      </w:r>
      <w:r w:rsidRPr="00B24AD4">
        <w:rPr>
          <w:i/>
          <w:lang w:val="en-US"/>
        </w:rPr>
        <w:t>(significance of the RI for the specific research fields addressed)</w:t>
      </w:r>
    </w:p>
    <w:p w:rsidR="0058598D" w:rsidRPr="00B24AD4" w:rsidRDefault="0058598D" w:rsidP="0058598D">
      <w:pPr>
        <w:pStyle w:val="a4"/>
        <w:numPr>
          <w:ilvl w:val="0"/>
          <w:numId w:val="16"/>
        </w:numPr>
        <w:tabs>
          <w:tab w:val="left" w:pos="5954"/>
        </w:tabs>
        <w:spacing w:after="120" w:line="240" w:lineRule="auto"/>
        <w:jc w:val="both"/>
        <w:rPr>
          <w:lang w:val="en-US"/>
        </w:rPr>
      </w:pPr>
      <w:r w:rsidRPr="00B24AD4">
        <w:rPr>
          <w:lang w:val="en-US"/>
        </w:rPr>
        <w:t>Degree of interdisciplinarity</w:t>
      </w:r>
    </w:p>
    <w:p w:rsidR="0058598D" w:rsidRPr="00B24AD4" w:rsidRDefault="0058598D" w:rsidP="0058598D">
      <w:pPr>
        <w:pStyle w:val="a4"/>
        <w:numPr>
          <w:ilvl w:val="0"/>
          <w:numId w:val="16"/>
        </w:numPr>
        <w:tabs>
          <w:tab w:val="left" w:pos="5954"/>
        </w:tabs>
        <w:spacing w:after="120" w:line="240" w:lineRule="auto"/>
        <w:jc w:val="both"/>
        <w:rPr>
          <w:lang w:val="en-US"/>
        </w:rPr>
      </w:pPr>
      <w:r w:rsidRPr="00B24AD4">
        <w:rPr>
          <w:lang w:val="en-US"/>
        </w:rPr>
        <w:t>Perspectives for scientific and technological breakthroughs in the field of operation of the RI</w:t>
      </w:r>
    </w:p>
    <w:p w:rsidR="0058598D" w:rsidRPr="00B24AD4" w:rsidRDefault="0058598D" w:rsidP="0058598D">
      <w:pPr>
        <w:pStyle w:val="a4"/>
        <w:numPr>
          <w:ilvl w:val="0"/>
          <w:numId w:val="16"/>
        </w:numPr>
        <w:tabs>
          <w:tab w:val="left" w:pos="5954"/>
        </w:tabs>
        <w:spacing w:after="120" w:line="240" w:lineRule="auto"/>
        <w:jc w:val="both"/>
        <w:rPr>
          <w:lang w:val="en-US"/>
        </w:rPr>
      </w:pPr>
      <w:r w:rsidRPr="00B24AD4">
        <w:rPr>
          <w:lang w:val="en-US"/>
        </w:rPr>
        <w:t>Maturity of the RI</w:t>
      </w:r>
    </w:p>
    <w:p w:rsidR="0058598D" w:rsidRPr="00B24AD4" w:rsidRDefault="0058598D" w:rsidP="0058598D">
      <w:pPr>
        <w:pStyle w:val="a4"/>
        <w:numPr>
          <w:ilvl w:val="0"/>
          <w:numId w:val="15"/>
        </w:numPr>
        <w:pBdr>
          <w:bottom w:val="single" w:sz="4" w:space="1" w:color="auto"/>
        </w:pBdr>
        <w:shd w:val="clear" w:color="auto" w:fill="D9D9D9" w:themeFill="background1" w:themeFillShade="D9"/>
        <w:tabs>
          <w:tab w:val="left" w:pos="5954"/>
        </w:tabs>
        <w:spacing w:after="120" w:line="240" w:lineRule="auto"/>
        <w:jc w:val="both"/>
        <w:rPr>
          <w:b/>
          <w:lang w:val="en-US"/>
        </w:rPr>
      </w:pPr>
      <w:r>
        <w:rPr>
          <w:b/>
          <w:lang w:val="en-US"/>
        </w:rPr>
        <w:t xml:space="preserve"> Effective Networking, </w:t>
      </w:r>
      <w:r w:rsidRPr="00B24AD4">
        <w:rPr>
          <w:b/>
          <w:lang w:val="en-US"/>
        </w:rPr>
        <w:t xml:space="preserve"> Synergies within the Knowledge Triangle </w:t>
      </w:r>
      <w:r>
        <w:rPr>
          <w:b/>
          <w:lang w:val="en-US"/>
        </w:rPr>
        <w:t>and International Visibility</w:t>
      </w:r>
      <w:r w:rsidRPr="0058598D">
        <w:rPr>
          <w:b/>
          <w:lang w:val="en-US"/>
        </w:rPr>
        <w:t xml:space="preserve"> </w:t>
      </w:r>
      <w:r w:rsidRPr="00B24AD4">
        <w:rPr>
          <w:b/>
          <w:lang w:val="en-US"/>
        </w:rPr>
        <w:t>(1-5)</w:t>
      </w:r>
    </w:p>
    <w:p w:rsidR="0058598D" w:rsidRPr="00B24AD4" w:rsidRDefault="0058598D" w:rsidP="0058598D">
      <w:pPr>
        <w:pStyle w:val="a4"/>
        <w:numPr>
          <w:ilvl w:val="0"/>
          <w:numId w:val="8"/>
        </w:numPr>
        <w:tabs>
          <w:tab w:val="left" w:pos="5954"/>
        </w:tabs>
        <w:spacing w:after="120" w:line="240" w:lineRule="auto"/>
        <w:jc w:val="both"/>
        <w:rPr>
          <w:lang w:val="en-US"/>
        </w:rPr>
      </w:pPr>
      <w:r w:rsidRPr="00B24AD4">
        <w:rPr>
          <w:lang w:val="en-US"/>
        </w:rPr>
        <w:t>Competence and complementarity of the partners and added-value of the national RI network at the regional, national and international level</w:t>
      </w:r>
    </w:p>
    <w:p w:rsidR="0058598D" w:rsidRPr="00B24AD4" w:rsidRDefault="0058598D" w:rsidP="0058598D">
      <w:pPr>
        <w:pStyle w:val="a4"/>
        <w:numPr>
          <w:ilvl w:val="0"/>
          <w:numId w:val="8"/>
        </w:numPr>
        <w:tabs>
          <w:tab w:val="left" w:pos="5954"/>
        </w:tabs>
        <w:spacing w:after="120" w:line="240" w:lineRule="auto"/>
        <w:jc w:val="both"/>
        <w:rPr>
          <w:lang w:val="en-US"/>
        </w:rPr>
      </w:pPr>
      <w:r w:rsidRPr="00B24AD4">
        <w:rPr>
          <w:lang w:val="en-US"/>
        </w:rPr>
        <w:t>Synergies, degree of networking and creation of critical mass</w:t>
      </w:r>
    </w:p>
    <w:p w:rsidR="0058598D" w:rsidRPr="00876E88" w:rsidRDefault="0058598D" w:rsidP="0058598D">
      <w:pPr>
        <w:pStyle w:val="a4"/>
        <w:numPr>
          <w:ilvl w:val="0"/>
          <w:numId w:val="8"/>
        </w:numPr>
        <w:tabs>
          <w:tab w:val="left" w:pos="5954"/>
        </w:tabs>
        <w:spacing w:after="120" w:line="240" w:lineRule="auto"/>
        <w:jc w:val="both"/>
        <w:rPr>
          <w:lang w:val="en-US"/>
        </w:rPr>
      </w:pPr>
      <w:r>
        <w:rPr>
          <w:lang w:val="en-US"/>
        </w:rPr>
        <w:t xml:space="preserve">International networking, openness and visibility of the RI with emphasis </w:t>
      </w:r>
      <w:r w:rsidRPr="00876E88">
        <w:rPr>
          <w:lang w:val="en-US"/>
        </w:rPr>
        <w:t>on ERA integration eff</w:t>
      </w:r>
      <w:r>
        <w:rPr>
          <w:lang w:val="en-US"/>
        </w:rPr>
        <w:t>ects, e.g. ESFRI participation</w:t>
      </w:r>
      <w:r w:rsidRPr="00876E88">
        <w:rPr>
          <w:lang w:val="en-US"/>
        </w:rPr>
        <w:t xml:space="preserve">  </w:t>
      </w:r>
    </w:p>
    <w:p w:rsidR="0058598D" w:rsidRPr="00876E88" w:rsidRDefault="0058598D" w:rsidP="0058598D">
      <w:pPr>
        <w:pStyle w:val="a4"/>
        <w:numPr>
          <w:ilvl w:val="0"/>
          <w:numId w:val="8"/>
        </w:numPr>
        <w:tabs>
          <w:tab w:val="left" w:pos="5954"/>
        </w:tabs>
        <w:spacing w:after="120" w:line="240" w:lineRule="auto"/>
        <w:jc w:val="both"/>
        <w:rPr>
          <w:lang w:val="en-US"/>
        </w:rPr>
      </w:pPr>
      <w:r w:rsidRPr="00B24AD4">
        <w:rPr>
          <w:lang w:val="en-US"/>
        </w:rPr>
        <w:t>Education and training for students, researchers, technicians, engineers and administrators of RIs</w:t>
      </w:r>
    </w:p>
    <w:p w:rsidR="0058598D" w:rsidRPr="00B24AD4" w:rsidRDefault="0058598D" w:rsidP="0058598D">
      <w:pPr>
        <w:pStyle w:val="a4"/>
        <w:numPr>
          <w:ilvl w:val="0"/>
          <w:numId w:val="15"/>
        </w:numPr>
        <w:pBdr>
          <w:bottom w:val="single" w:sz="4" w:space="1" w:color="auto"/>
        </w:pBdr>
        <w:shd w:val="clear" w:color="auto" w:fill="D9D9D9" w:themeFill="background1" w:themeFillShade="D9"/>
        <w:tabs>
          <w:tab w:val="left" w:pos="5954"/>
        </w:tabs>
        <w:spacing w:after="120" w:line="240" w:lineRule="auto"/>
        <w:jc w:val="both"/>
        <w:rPr>
          <w:b/>
          <w:lang w:val="en-US"/>
        </w:rPr>
      </w:pPr>
      <w:r w:rsidRPr="00B24AD4">
        <w:rPr>
          <w:b/>
          <w:i/>
          <w:color w:val="1F497D" w:themeColor="text2"/>
          <w:lang w:val="en-US"/>
        </w:rPr>
        <w:t xml:space="preserve"> </w:t>
      </w:r>
      <w:r w:rsidRPr="00B24AD4">
        <w:rPr>
          <w:b/>
          <w:lang w:val="en-US"/>
        </w:rPr>
        <w:t>Access Policy (1-5)</w:t>
      </w:r>
    </w:p>
    <w:p w:rsidR="0058598D" w:rsidRPr="00B24AD4" w:rsidRDefault="0058598D" w:rsidP="0058598D">
      <w:pPr>
        <w:pStyle w:val="a4"/>
        <w:numPr>
          <w:ilvl w:val="0"/>
          <w:numId w:val="9"/>
        </w:numPr>
        <w:tabs>
          <w:tab w:val="left" w:pos="5954"/>
        </w:tabs>
        <w:spacing w:after="120" w:line="240" w:lineRule="auto"/>
        <w:jc w:val="both"/>
        <w:rPr>
          <w:lang w:val="en-US"/>
        </w:rPr>
      </w:pPr>
      <w:r w:rsidRPr="00B24AD4">
        <w:rPr>
          <w:lang w:val="en-US"/>
        </w:rPr>
        <w:t>Access policy for researchers</w:t>
      </w:r>
    </w:p>
    <w:p w:rsidR="0058598D" w:rsidRPr="00BD7CBD" w:rsidRDefault="0058598D" w:rsidP="0058598D">
      <w:pPr>
        <w:pStyle w:val="a4"/>
        <w:numPr>
          <w:ilvl w:val="0"/>
          <w:numId w:val="9"/>
        </w:numPr>
        <w:tabs>
          <w:tab w:val="left" w:pos="5954"/>
        </w:tabs>
        <w:spacing w:after="120" w:line="240" w:lineRule="auto"/>
        <w:jc w:val="both"/>
        <w:rPr>
          <w:lang w:val="en-US"/>
        </w:rPr>
      </w:pPr>
      <w:r w:rsidRPr="00B24AD4">
        <w:rPr>
          <w:lang w:val="en-US"/>
        </w:rPr>
        <w:t xml:space="preserve">Access policy for industry and </w:t>
      </w:r>
      <w:r>
        <w:rPr>
          <w:lang w:val="en-US"/>
        </w:rPr>
        <w:t xml:space="preserve">enterprises </w:t>
      </w:r>
      <w:r w:rsidRPr="00B24AD4">
        <w:rPr>
          <w:i/>
          <w:lang w:val="en-US"/>
        </w:rPr>
        <w:t xml:space="preserve">(addressing IP rights – if applicable – fees and confidentiality </w:t>
      </w:r>
      <w:r>
        <w:rPr>
          <w:i/>
          <w:lang w:val="en-US"/>
        </w:rPr>
        <w:t xml:space="preserve">issues - collaboration with enterprises </w:t>
      </w:r>
      <w:r w:rsidRPr="00B24AD4">
        <w:rPr>
          <w:i/>
          <w:lang w:val="en-US"/>
        </w:rPr>
        <w:t xml:space="preserve"> -</w:t>
      </w:r>
      <w:r>
        <w:rPr>
          <w:i/>
          <w:lang w:val="en-US"/>
        </w:rPr>
        <w:t xml:space="preserve"> </w:t>
      </w:r>
      <w:r w:rsidRPr="00B24AD4">
        <w:rPr>
          <w:i/>
          <w:lang w:val="en-US"/>
        </w:rPr>
        <w:t xml:space="preserve">open access policy to </w:t>
      </w:r>
      <w:r>
        <w:rPr>
          <w:i/>
          <w:lang w:val="en-US"/>
        </w:rPr>
        <w:t>enterprises</w:t>
      </w:r>
      <w:r w:rsidRPr="00B24AD4">
        <w:rPr>
          <w:i/>
          <w:lang w:val="en-US"/>
        </w:rPr>
        <w:t xml:space="preserve"> and the private sector in general)</w:t>
      </w:r>
    </w:p>
    <w:p w:rsidR="0058598D" w:rsidRPr="00BD7CBD" w:rsidRDefault="0058598D" w:rsidP="0058598D">
      <w:pPr>
        <w:pStyle w:val="a4"/>
        <w:numPr>
          <w:ilvl w:val="0"/>
          <w:numId w:val="9"/>
        </w:numPr>
        <w:tabs>
          <w:tab w:val="left" w:pos="5954"/>
        </w:tabs>
        <w:spacing w:after="120" w:line="240" w:lineRule="auto"/>
        <w:jc w:val="both"/>
        <w:rPr>
          <w:lang w:val="en-US"/>
        </w:rPr>
      </w:pPr>
      <w:r w:rsidRPr="00BD7CBD">
        <w:rPr>
          <w:lang w:val="en-US"/>
        </w:rPr>
        <w:t>International Openness and Access for International Users</w:t>
      </w:r>
    </w:p>
    <w:p w:rsidR="0058598D" w:rsidRPr="00B24AD4" w:rsidRDefault="0058598D" w:rsidP="0058598D">
      <w:pPr>
        <w:pStyle w:val="a4"/>
        <w:numPr>
          <w:ilvl w:val="0"/>
          <w:numId w:val="15"/>
        </w:numPr>
        <w:pBdr>
          <w:bottom w:val="single" w:sz="4" w:space="1" w:color="auto"/>
        </w:pBdr>
        <w:shd w:val="clear" w:color="auto" w:fill="D9D9D9" w:themeFill="background1" w:themeFillShade="D9"/>
        <w:tabs>
          <w:tab w:val="left" w:pos="5954"/>
        </w:tabs>
        <w:spacing w:after="120" w:line="240" w:lineRule="auto"/>
        <w:jc w:val="both"/>
        <w:rPr>
          <w:b/>
          <w:lang w:val="en-US"/>
        </w:rPr>
      </w:pPr>
      <w:r w:rsidRPr="00B24AD4">
        <w:rPr>
          <w:b/>
          <w:lang w:val="en-US"/>
        </w:rPr>
        <w:t xml:space="preserve"> Governance and Sustainability of the RI (1-5)</w:t>
      </w:r>
    </w:p>
    <w:p w:rsidR="0058598D" w:rsidRPr="00B24AD4" w:rsidRDefault="0058598D" w:rsidP="0058598D">
      <w:pPr>
        <w:pStyle w:val="a4"/>
        <w:numPr>
          <w:ilvl w:val="0"/>
          <w:numId w:val="10"/>
        </w:numPr>
        <w:tabs>
          <w:tab w:val="left" w:pos="5954"/>
        </w:tabs>
        <w:spacing w:after="120" w:line="240" w:lineRule="auto"/>
        <w:jc w:val="both"/>
        <w:rPr>
          <w:lang w:val="en-US"/>
        </w:rPr>
      </w:pPr>
      <w:r w:rsidRPr="00B24AD4">
        <w:rPr>
          <w:lang w:val="en-US"/>
        </w:rPr>
        <w:t>Clear management structure &amp; governance of the proposed research infrastructure</w:t>
      </w:r>
    </w:p>
    <w:p w:rsidR="0058598D" w:rsidRPr="00B24AD4" w:rsidRDefault="0058598D" w:rsidP="0058598D">
      <w:pPr>
        <w:pStyle w:val="a4"/>
        <w:numPr>
          <w:ilvl w:val="0"/>
          <w:numId w:val="10"/>
        </w:numPr>
        <w:tabs>
          <w:tab w:val="left" w:pos="5954"/>
        </w:tabs>
        <w:spacing w:after="120" w:line="240" w:lineRule="auto"/>
        <w:jc w:val="both"/>
        <w:rPr>
          <w:lang w:val="en-US"/>
        </w:rPr>
      </w:pPr>
      <w:r w:rsidRPr="00B24AD4">
        <w:rPr>
          <w:lang w:val="en-US"/>
        </w:rPr>
        <w:t>Involvement of private sector representatives in the Research Infrastructure</w:t>
      </w:r>
    </w:p>
    <w:p w:rsidR="0058598D" w:rsidRPr="00B24AD4" w:rsidRDefault="0058598D" w:rsidP="0058598D">
      <w:pPr>
        <w:pStyle w:val="a4"/>
        <w:numPr>
          <w:ilvl w:val="0"/>
          <w:numId w:val="10"/>
        </w:numPr>
        <w:tabs>
          <w:tab w:val="left" w:pos="5954"/>
        </w:tabs>
        <w:spacing w:after="120" w:line="240" w:lineRule="auto"/>
        <w:jc w:val="both"/>
        <w:rPr>
          <w:lang w:val="en-US"/>
        </w:rPr>
      </w:pPr>
      <w:r w:rsidRPr="00B24AD4">
        <w:rPr>
          <w:lang w:val="en-US"/>
        </w:rPr>
        <w:t>Technical feasibility, including human resource issues &amp; cost effectiveness in the proposed infrastructures</w:t>
      </w:r>
    </w:p>
    <w:p w:rsidR="0058598D" w:rsidRPr="00B24AD4" w:rsidRDefault="0058598D" w:rsidP="0058598D">
      <w:pPr>
        <w:pStyle w:val="a4"/>
        <w:numPr>
          <w:ilvl w:val="0"/>
          <w:numId w:val="10"/>
        </w:numPr>
        <w:tabs>
          <w:tab w:val="left" w:pos="5954"/>
        </w:tabs>
        <w:spacing w:after="120" w:line="240" w:lineRule="auto"/>
        <w:jc w:val="both"/>
        <w:rPr>
          <w:lang w:val="en-US"/>
        </w:rPr>
      </w:pPr>
      <w:r w:rsidRPr="00B24AD4">
        <w:rPr>
          <w:lang w:val="en-US"/>
        </w:rPr>
        <w:t xml:space="preserve">Clear investment plan securing the long term viability of the RI  </w:t>
      </w:r>
    </w:p>
    <w:p w:rsidR="0058598D" w:rsidRPr="00B24AD4" w:rsidRDefault="0058598D" w:rsidP="0058598D">
      <w:pPr>
        <w:pStyle w:val="a4"/>
        <w:numPr>
          <w:ilvl w:val="0"/>
          <w:numId w:val="15"/>
        </w:numPr>
        <w:pBdr>
          <w:bottom w:val="single" w:sz="4" w:space="1" w:color="auto"/>
        </w:pBdr>
        <w:shd w:val="clear" w:color="auto" w:fill="D9D9D9" w:themeFill="background1" w:themeFillShade="D9"/>
        <w:tabs>
          <w:tab w:val="left" w:pos="5954"/>
        </w:tabs>
        <w:spacing w:after="120" w:line="240" w:lineRule="auto"/>
        <w:jc w:val="both"/>
        <w:rPr>
          <w:b/>
          <w:i/>
          <w:color w:val="1F497D" w:themeColor="text2"/>
          <w:lang w:val="en-US"/>
        </w:rPr>
      </w:pPr>
      <w:r w:rsidRPr="00B24AD4">
        <w:rPr>
          <w:b/>
          <w:lang w:val="en-US"/>
        </w:rPr>
        <w:t xml:space="preserve"> Innovation Potential &amp; Contribution to Private Sector Innovation (1-5)</w:t>
      </w:r>
    </w:p>
    <w:p w:rsidR="0058598D" w:rsidRPr="00B24AD4" w:rsidRDefault="0058598D" w:rsidP="0058598D">
      <w:pPr>
        <w:pStyle w:val="a4"/>
        <w:numPr>
          <w:ilvl w:val="0"/>
          <w:numId w:val="11"/>
        </w:numPr>
        <w:tabs>
          <w:tab w:val="left" w:pos="5954"/>
        </w:tabs>
        <w:spacing w:after="120" w:line="240" w:lineRule="auto"/>
        <w:jc w:val="both"/>
        <w:rPr>
          <w:lang w:val="en-US"/>
        </w:rPr>
      </w:pPr>
      <w:r w:rsidRPr="00B24AD4">
        <w:rPr>
          <w:lang w:val="en-US"/>
        </w:rPr>
        <w:t>Contribution to increase the potential for innovation and technology transfer through the construction and operation of the RI, based on expected results and spillover effects of the RI</w:t>
      </w:r>
    </w:p>
    <w:p w:rsidR="0058598D" w:rsidRPr="00B24AD4" w:rsidRDefault="0058598D" w:rsidP="0058598D">
      <w:pPr>
        <w:pStyle w:val="a4"/>
        <w:numPr>
          <w:ilvl w:val="0"/>
          <w:numId w:val="11"/>
        </w:numPr>
        <w:tabs>
          <w:tab w:val="left" w:pos="5954"/>
        </w:tabs>
        <w:spacing w:after="120" w:line="240" w:lineRule="auto"/>
        <w:jc w:val="both"/>
        <w:rPr>
          <w:lang w:val="en-US"/>
        </w:rPr>
      </w:pPr>
      <w:r w:rsidRPr="00B24AD4">
        <w:rPr>
          <w:lang w:val="en-US"/>
        </w:rPr>
        <w:t>Contributes to the creation of high growth SME</w:t>
      </w:r>
      <w:r>
        <w:rPr>
          <w:lang w:val="en-US"/>
        </w:rPr>
        <w:t>s</w:t>
      </w:r>
    </w:p>
    <w:p w:rsidR="0058598D" w:rsidRPr="00B24AD4" w:rsidRDefault="0058598D" w:rsidP="0058598D">
      <w:pPr>
        <w:pStyle w:val="a4"/>
        <w:numPr>
          <w:ilvl w:val="0"/>
          <w:numId w:val="11"/>
        </w:numPr>
        <w:tabs>
          <w:tab w:val="left" w:pos="5954"/>
        </w:tabs>
        <w:spacing w:after="120" w:line="240" w:lineRule="auto"/>
        <w:jc w:val="both"/>
        <w:rPr>
          <w:lang w:val="en-US"/>
        </w:rPr>
      </w:pPr>
      <w:r w:rsidRPr="00B24AD4">
        <w:rPr>
          <w:lang w:val="en-US"/>
        </w:rPr>
        <w:t>Foresees support of SMEs in organizational innovation</w:t>
      </w:r>
    </w:p>
    <w:p w:rsidR="0058598D" w:rsidRPr="00B24AD4" w:rsidRDefault="0058598D" w:rsidP="0058598D">
      <w:pPr>
        <w:pStyle w:val="a4"/>
        <w:numPr>
          <w:ilvl w:val="0"/>
          <w:numId w:val="15"/>
        </w:numPr>
        <w:pBdr>
          <w:bottom w:val="single" w:sz="4" w:space="1" w:color="auto"/>
        </w:pBdr>
        <w:shd w:val="clear" w:color="auto" w:fill="D9D9D9" w:themeFill="background1" w:themeFillShade="D9"/>
        <w:tabs>
          <w:tab w:val="left" w:pos="5954"/>
        </w:tabs>
        <w:spacing w:after="120" w:line="240" w:lineRule="auto"/>
        <w:jc w:val="both"/>
        <w:rPr>
          <w:b/>
          <w:lang w:val="en-US"/>
        </w:rPr>
      </w:pPr>
      <w:r w:rsidRPr="00B24AD4">
        <w:rPr>
          <w:b/>
          <w:i/>
          <w:color w:val="1F497D" w:themeColor="text2"/>
          <w:lang w:val="en-US"/>
        </w:rPr>
        <w:t xml:space="preserve"> </w:t>
      </w:r>
      <w:r w:rsidRPr="00B24AD4">
        <w:rPr>
          <w:b/>
          <w:lang w:val="en-US"/>
        </w:rPr>
        <w:t>Contribution to National and Regional Growth &amp; Socioeconomic Benefits (1-5)</w:t>
      </w:r>
    </w:p>
    <w:p w:rsidR="0058598D" w:rsidRPr="00B24AD4" w:rsidRDefault="0058598D" w:rsidP="0058598D">
      <w:pPr>
        <w:pStyle w:val="a4"/>
        <w:numPr>
          <w:ilvl w:val="0"/>
          <w:numId w:val="12"/>
        </w:numPr>
        <w:tabs>
          <w:tab w:val="left" w:pos="5954"/>
        </w:tabs>
        <w:spacing w:after="120" w:line="240" w:lineRule="auto"/>
        <w:jc w:val="both"/>
        <w:rPr>
          <w:lang w:val="en-US"/>
        </w:rPr>
      </w:pPr>
      <w:r w:rsidRPr="00B24AD4">
        <w:rPr>
          <w:lang w:val="en-US"/>
        </w:rPr>
        <w:t>Contributes to private sector R&amp;D investment</w:t>
      </w:r>
    </w:p>
    <w:p w:rsidR="0058598D" w:rsidRPr="00B24AD4" w:rsidRDefault="0058598D" w:rsidP="0058598D">
      <w:pPr>
        <w:pStyle w:val="a4"/>
        <w:numPr>
          <w:ilvl w:val="0"/>
          <w:numId w:val="12"/>
        </w:numPr>
        <w:tabs>
          <w:tab w:val="left" w:pos="5954"/>
        </w:tabs>
        <w:spacing w:after="120" w:line="240" w:lineRule="auto"/>
        <w:jc w:val="both"/>
        <w:rPr>
          <w:lang w:val="en-US"/>
        </w:rPr>
      </w:pPr>
      <w:r w:rsidRPr="00B24AD4">
        <w:rPr>
          <w:lang w:val="en-US"/>
        </w:rPr>
        <w:t>Creation of an attractive environment for knowledge intensive activities and new employment for highly skilled scientists and engineers</w:t>
      </w:r>
    </w:p>
    <w:p w:rsidR="0058598D" w:rsidRPr="00B24AD4" w:rsidRDefault="0058598D" w:rsidP="0058598D">
      <w:pPr>
        <w:pStyle w:val="a4"/>
        <w:numPr>
          <w:ilvl w:val="0"/>
          <w:numId w:val="12"/>
        </w:numPr>
        <w:tabs>
          <w:tab w:val="left" w:pos="5954"/>
        </w:tabs>
        <w:spacing w:after="120" w:line="240" w:lineRule="auto"/>
        <w:jc w:val="both"/>
        <w:rPr>
          <w:lang w:val="en-US"/>
        </w:rPr>
      </w:pPr>
      <w:r w:rsidRPr="00B24AD4">
        <w:rPr>
          <w:lang w:val="en-US"/>
        </w:rPr>
        <w:t>Contributes to exports of products or services</w:t>
      </w:r>
    </w:p>
    <w:p w:rsidR="0058598D" w:rsidRPr="00B24AD4" w:rsidRDefault="0058598D" w:rsidP="0058598D">
      <w:pPr>
        <w:pStyle w:val="a4"/>
        <w:numPr>
          <w:ilvl w:val="0"/>
          <w:numId w:val="12"/>
        </w:numPr>
        <w:tabs>
          <w:tab w:val="left" w:pos="5954"/>
        </w:tabs>
        <w:spacing w:after="120" w:line="240" w:lineRule="auto"/>
        <w:jc w:val="both"/>
        <w:rPr>
          <w:lang w:val="en-US"/>
        </w:rPr>
      </w:pPr>
      <w:r w:rsidRPr="00B24AD4">
        <w:rPr>
          <w:lang w:val="en-US"/>
        </w:rPr>
        <w:t xml:space="preserve">Generates revenue from licensing and/or patents commercialization  </w:t>
      </w:r>
    </w:p>
    <w:p w:rsidR="0058598D" w:rsidRPr="00B24AD4" w:rsidRDefault="0058598D" w:rsidP="0058598D">
      <w:pPr>
        <w:pStyle w:val="a4"/>
        <w:numPr>
          <w:ilvl w:val="0"/>
          <w:numId w:val="12"/>
        </w:numPr>
        <w:tabs>
          <w:tab w:val="left" w:pos="5954"/>
        </w:tabs>
        <w:spacing w:after="120" w:line="240" w:lineRule="auto"/>
        <w:jc w:val="both"/>
        <w:rPr>
          <w:lang w:val="en-US"/>
        </w:rPr>
      </w:pPr>
      <w:r w:rsidRPr="00B24AD4">
        <w:rPr>
          <w:lang w:val="en-US"/>
        </w:rPr>
        <w:t xml:space="preserve">Economic and social benefits for Greece as a location for conducting cutting edge research at national, regional and international level </w:t>
      </w:r>
    </w:p>
    <w:p w:rsidR="0058598D" w:rsidRPr="00B24AD4" w:rsidRDefault="0058598D" w:rsidP="0058598D">
      <w:pPr>
        <w:pStyle w:val="a4"/>
        <w:numPr>
          <w:ilvl w:val="0"/>
          <w:numId w:val="12"/>
        </w:numPr>
        <w:tabs>
          <w:tab w:val="left" w:pos="5954"/>
        </w:tabs>
        <w:spacing w:after="120" w:line="240" w:lineRule="auto"/>
        <w:jc w:val="both"/>
        <w:rPr>
          <w:lang w:val="en-US"/>
        </w:rPr>
      </w:pPr>
      <w:r w:rsidRPr="00B24AD4">
        <w:rPr>
          <w:lang w:val="en-US"/>
        </w:rPr>
        <w:t>Expected impact of the RIs on additional socioeconomic issues (e.g. employment, environment, related commercial/business activities) in the national &amp; regional economy.</w:t>
      </w:r>
    </w:p>
    <w:p w:rsidR="0058598D" w:rsidRPr="0058598D" w:rsidRDefault="0058598D" w:rsidP="00975922">
      <w:pPr>
        <w:spacing w:after="0" w:line="240" w:lineRule="auto"/>
        <w:jc w:val="both"/>
        <w:rPr>
          <w:rFonts w:eastAsia="Times New Roman" w:cs="Arial"/>
          <w:lang w:val="en-US"/>
        </w:rPr>
      </w:pPr>
    </w:p>
    <w:p w:rsidR="00B5616A" w:rsidRPr="0058598D" w:rsidRDefault="00935383" w:rsidP="007C1ACE">
      <w:pPr>
        <w:tabs>
          <w:tab w:val="left" w:pos="839"/>
          <w:tab w:val="center" w:pos="5233"/>
          <w:tab w:val="left" w:pos="5954"/>
        </w:tabs>
        <w:spacing w:after="120" w:line="240" w:lineRule="auto"/>
        <w:rPr>
          <w:b/>
          <w:i/>
          <w:color w:val="1F497D" w:themeColor="text2"/>
          <w:lang w:val="en-US"/>
        </w:rPr>
      </w:pPr>
      <w:r w:rsidRPr="0058598D">
        <w:rPr>
          <w:b/>
          <w:i/>
          <w:color w:val="1F497D" w:themeColor="text2"/>
          <w:lang w:val="en-US"/>
        </w:rPr>
        <w:tab/>
      </w:r>
    </w:p>
    <w:p w:rsidR="00B5616A" w:rsidRPr="0058598D" w:rsidRDefault="00B5616A">
      <w:pPr>
        <w:rPr>
          <w:b/>
          <w:i/>
          <w:color w:val="1F497D" w:themeColor="text2"/>
          <w:lang w:val="en-US"/>
        </w:rPr>
      </w:pPr>
      <w:r w:rsidRPr="0058598D">
        <w:rPr>
          <w:b/>
          <w:i/>
          <w:color w:val="1F497D" w:themeColor="text2"/>
          <w:lang w:val="en-US"/>
        </w:rPr>
        <w:br w:type="page"/>
      </w:r>
    </w:p>
    <w:p w:rsidR="007C1ACE" w:rsidRPr="0058598D" w:rsidRDefault="007C1ACE" w:rsidP="007C1ACE">
      <w:pPr>
        <w:tabs>
          <w:tab w:val="left" w:pos="839"/>
          <w:tab w:val="center" w:pos="5233"/>
          <w:tab w:val="left" w:pos="5954"/>
        </w:tabs>
        <w:spacing w:after="120" w:line="240" w:lineRule="auto"/>
        <w:rPr>
          <w:b/>
          <w:i/>
          <w:color w:val="1F497D" w:themeColor="text2"/>
          <w:lang w:val="en-US"/>
        </w:rPr>
      </w:pPr>
    </w:p>
    <w:p w:rsidR="007C1ACE" w:rsidRPr="00B24AD4" w:rsidRDefault="007C1ACE" w:rsidP="00975922">
      <w:pPr>
        <w:spacing w:after="0" w:line="240" w:lineRule="auto"/>
        <w:jc w:val="both"/>
        <w:rPr>
          <w:rFonts w:eastAsia="Times New Roman" w:cs="Arial"/>
          <w:lang w:val="en-US"/>
        </w:rPr>
      </w:pPr>
    </w:p>
    <w:p w:rsidR="000F3CB9" w:rsidRPr="00A91192" w:rsidRDefault="000F3CB9" w:rsidP="0058598D">
      <w:pPr>
        <w:spacing w:after="0" w:line="240" w:lineRule="auto"/>
        <w:jc w:val="both"/>
        <w:rPr>
          <w:rFonts w:eastAsia="Times New Roman" w:cs="Arial"/>
          <w:b/>
          <w:lang w:val="en-US"/>
        </w:rPr>
      </w:pPr>
    </w:p>
    <w:p w:rsidR="00975922" w:rsidRPr="00B24AD4" w:rsidRDefault="00C34142" w:rsidP="0058598D">
      <w:pPr>
        <w:spacing w:after="0" w:line="240" w:lineRule="auto"/>
        <w:jc w:val="both"/>
        <w:rPr>
          <w:rFonts w:eastAsia="Times New Roman" w:cs="Arial"/>
          <w:color w:val="C00000"/>
          <w:lang w:val="el-GR"/>
        </w:rPr>
      </w:pPr>
      <w:r w:rsidRPr="00B24AD4">
        <w:rPr>
          <w:rFonts w:eastAsia="Times New Roman" w:cs="Arial"/>
          <w:b/>
          <w:lang w:val="el-GR"/>
        </w:rPr>
        <w:t>Δ</w:t>
      </w:r>
      <w:r w:rsidR="003E1817" w:rsidRPr="00B24AD4">
        <w:rPr>
          <w:rFonts w:eastAsia="Times New Roman" w:cs="Arial"/>
          <w:b/>
          <w:lang w:val="el-GR"/>
        </w:rPr>
        <w:t xml:space="preserve">) </w:t>
      </w:r>
      <w:r w:rsidR="00975922" w:rsidRPr="00B24AD4">
        <w:rPr>
          <w:rFonts w:eastAsia="Times New Roman" w:cs="Arial"/>
          <w:b/>
          <w:lang w:val="el-GR"/>
        </w:rPr>
        <w:t>Περιεχόμενο των  προτάσεων</w:t>
      </w:r>
      <w:r w:rsidR="003E1817" w:rsidRPr="00B24AD4">
        <w:rPr>
          <w:rFonts w:eastAsia="Times New Roman" w:cs="Arial"/>
          <w:b/>
          <w:lang w:val="el-GR"/>
        </w:rPr>
        <w:t xml:space="preserve"> – υποβολή</w:t>
      </w:r>
      <w:r w:rsidR="003E1817" w:rsidRPr="00B24AD4">
        <w:rPr>
          <w:rFonts w:eastAsia="Times New Roman" w:cs="Arial"/>
          <w:lang w:val="el-GR"/>
        </w:rPr>
        <w:t xml:space="preserve">: </w:t>
      </w:r>
      <w:r w:rsidR="00D54AEF" w:rsidRPr="00B24AD4">
        <w:rPr>
          <w:rFonts w:eastAsia="Times New Roman" w:cs="Arial"/>
          <w:lang w:val="el-GR"/>
        </w:rPr>
        <w:t xml:space="preserve"> </w:t>
      </w:r>
      <w:r w:rsidR="0058598D" w:rsidRPr="005E2310">
        <w:rPr>
          <w:color w:val="000000"/>
          <w:lang w:val="el-GR"/>
        </w:rPr>
        <w:t xml:space="preserve">Οι προτάσεις </w:t>
      </w:r>
      <w:r w:rsidR="0058598D">
        <w:rPr>
          <w:color w:val="000000"/>
          <w:lang w:val="el-GR"/>
        </w:rPr>
        <w:t>θα υποβληθούν (στα αγγλικά) σε ηλεκτρονική πλατφόρμα της ΓΓΕΤ της οποίας η έναρξη λειτουργίας θα ανακοινωθεί πολύ σύντομα</w:t>
      </w:r>
      <w:r w:rsidR="0058598D" w:rsidRPr="00B24AD4">
        <w:rPr>
          <w:rFonts w:eastAsia="Times New Roman" w:cs="Arial"/>
          <w:lang w:val="el-GR"/>
        </w:rPr>
        <w:t xml:space="preserve"> </w:t>
      </w:r>
      <w:r w:rsidR="0058598D">
        <w:rPr>
          <w:rFonts w:eastAsia="Times New Roman" w:cs="Arial"/>
          <w:lang w:val="el-GR"/>
        </w:rPr>
        <w:t xml:space="preserve">. </w:t>
      </w:r>
    </w:p>
    <w:p w:rsidR="0058598D" w:rsidRDefault="0058598D" w:rsidP="0058598D">
      <w:pPr>
        <w:spacing w:after="0" w:line="240" w:lineRule="auto"/>
        <w:jc w:val="both"/>
        <w:rPr>
          <w:rFonts w:eastAsia="Times New Roman" w:cs="Arial"/>
          <w:b/>
          <w:lang w:val="el-GR"/>
        </w:rPr>
      </w:pPr>
    </w:p>
    <w:p w:rsidR="0058598D" w:rsidRPr="00B24AD4" w:rsidRDefault="0058598D" w:rsidP="0058598D">
      <w:pPr>
        <w:spacing w:after="0" w:line="240" w:lineRule="auto"/>
        <w:jc w:val="both"/>
        <w:rPr>
          <w:rFonts w:eastAsia="Times New Roman" w:cs="Arial"/>
          <w:b/>
          <w:lang w:val="el-GR"/>
        </w:rPr>
      </w:pPr>
      <w:r>
        <w:rPr>
          <w:rFonts w:eastAsia="Times New Roman" w:cs="Arial"/>
          <w:b/>
          <w:lang w:val="el-GR"/>
        </w:rPr>
        <w:t>Ε) Προθεσμία υποβολής: 28</w:t>
      </w:r>
      <w:r w:rsidRPr="00B24AD4">
        <w:rPr>
          <w:rFonts w:eastAsia="Times New Roman" w:cs="Arial"/>
          <w:b/>
          <w:lang w:val="el-GR"/>
        </w:rPr>
        <w:t>/7/2016</w:t>
      </w:r>
    </w:p>
    <w:p w:rsidR="003E1817" w:rsidRPr="00B24AD4" w:rsidRDefault="003E1817" w:rsidP="00975922">
      <w:pPr>
        <w:spacing w:after="0" w:line="240" w:lineRule="auto"/>
        <w:jc w:val="both"/>
        <w:rPr>
          <w:rFonts w:eastAsia="Times New Roman" w:cs="Arial"/>
          <w:lang w:val="el-GR"/>
        </w:rPr>
      </w:pPr>
    </w:p>
    <w:p w:rsidR="00975922" w:rsidRPr="00B24AD4" w:rsidRDefault="0058598D" w:rsidP="00975922">
      <w:pPr>
        <w:spacing w:after="0" w:line="240" w:lineRule="auto"/>
        <w:jc w:val="both"/>
        <w:rPr>
          <w:rFonts w:eastAsia="Times New Roman" w:cs="Arial"/>
          <w:lang w:val="el-GR"/>
        </w:rPr>
      </w:pPr>
      <w:r>
        <w:rPr>
          <w:rFonts w:eastAsia="Times New Roman" w:cs="Arial"/>
          <w:b/>
          <w:lang w:val="el-GR"/>
        </w:rPr>
        <w:t>ΣΤ</w:t>
      </w:r>
      <w:r w:rsidR="003E1817" w:rsidRPr="00B24AD4">
        <w:rPr>
          <w:rFonts w:eastAsia="Times New Roman" w:cs="Arial"/>
          <w:b/>
          <w:lang w:val="el-GR"/>
        </w:rPr>
        <w:t xml:space="preserve">) </w:t>
      </w:r>
      <w:r w:rsidR="00975922" w:rsidRPr="00B24AD4">
        <w:rPr>
          <w:rFonts w:eastAsia="Times New Roman" w:cs="Arial"/>
          <w:b/>
          <w:lang w:val="el-GR"/>
        </w:rPr>
        <w:t>Διαδικασία Αξιολόγησης</w:t>
      </w:r>
      <w:r w:rsidR="00D54AEF" w:rsidRPr="00B24AD4">
        <w:rPr>
          <w:rFonts w:eastAsia="Times New Roman" w:cs="Arial"/>
          <w:lang w:val="el-GR"/>
        </w:rPr>
        <w:t xml:space="preserve"> </w:t>
      </w:r>
      <w:r w:rsidR="003E1817" w:rsidRPr="00B24AD4">
        <w:rPr>
          <w:rFonts w:eastAsia="Times New Roman" w:cs="Arial"/>
          <w:lang w:val="el-GR"/>
        </w:rPr>
        <w:t xml:space="preserve">: Η αξιολόγηση θα διενεργηθεί από επιτροπές εμπειρογνωμόνων υψηλού κύρους από την Ελλάδα και το εξωτερικό. </w:t>
      </w:r>
    </w:p>
    <w:p w:rsidR="00975922" w:rsidRPr="00B24AD4" w:rsidRDefault="00975922" w:rsidP="00975922">
      <w:pPr>
        <w:spacing w:after="0" w:line="240" w:lineRule="auto"/>
        <w:jc w:val="both"/>
        <w:rPr>
          <w:rFonts w:eastAsia="Times New Roman" w:cs="Arial"/>
          <w:lang w:val="el-GR"/>
        </w:rPr>
      </w:pPr>
    </w:p>
    <w:p w:rsidR="00975922" w:rsidRPr="00B24AD4" w:rsidRDefault="00935383" w:rsidP="00975922">
      <w:pPr>
        <w:spacing w:after="0" w:line="240" w:lineRule="auto"/>
        <w:jc w:val="both"/>
        <w:rPr>
          <w:rFonts w:eastAsia="Times New Roman" w:cs="Arial"/>
          <w:lang w:val="el-GR"/>
        </w:rPr>
      </w:pPr>
      <w:r w:rsidRPr="00B24AD4">
        <w:rPr>
          <w:rFonts w:eastAsia="Times New Roman" w:cs="Arial"/>
          <w:b/>
          <w:lang w:val="el-GR"/>
        </w:rPr>
        <w:t>Επόμενα Στάδια</w:t>
      </w:r>
      <w:r w:rsidR="00975922" w:rsidRPr="00B24AD4">
        <w:rPr>
          <w:rFonts w:eastAsia="Times New Roman" w:cs="Arial"/>
          <w:lang w:val="el-GR"/>
        </w:rPr>
        <w:t xml:space="preserve"> </w:t>
      </w:r>
    </w:p>
    <w:p w:rsidR="00975922" w:rsidRPr="00B24AD4" w:rsidRDefault="00C34142" w:rsidP="00975922">
      <w:pPr>
        <w:spacing w:after="0" w:line="240" w:lineRule="auto"/>
        <w:jc w:val="both"/>
        <w:rPr>
          <w:rFonts w:eastAsia="Times New Roman" w:cs="Arial"/>
          <w:lang w:val="el-GR"/>
        </w:rPr>
      </w:pPr>
      <w:r w:rsidRPr="00B24AD4">
        <w:rPr>
          <w:rFonts w:eastAsia="Times New Roman" w:cs="Arial"/>
          <w:lang w:val="el-GR"/>
        </w:rPr>
        <w:t xml:space="preserve">Οι συντονιστές των προτάσεων που θα αξιολογηθούν θετικά στο πλαίσιο της παρούσας πρόσκλησης εκδήλωσης ενδιαφέροντος, θα κληθούν </w:t>
      </w:r>
      <w:bookmarkStart w:id="0" w:name="_GoBack"/>
      <w:bookmarkEnd w:id="0"/>
      <w:r w:rsidRPr="00B24AD4">
        <w:rPr>
          <w:rFonts w:eastAsia="Times New Roman" w:cs="Arial"/>
          <w:lang w:val="el-GR"/>
        </w:rPr>
        <w:t xml:space="preserve">να υποβάλουν Τεχνικό Δελτίο </w:t>
      </w:r>
      <w:r w:rsidR="008F3B0D" w:rsidRPr="00B24AD4">
        <w:rPr>
          <w:rFonts w:eastAsia="Times New Roman" w:cs="Arial"/>
          <w:lang w:val="el-GR"/>
        </w:rPr>
        <w:t>Π</w:t>
      </w:r>
      <w:r w:rsidRPr="00B24AD4">
        <w:rPr>
          <w:rFonts w:eastAsia="Times New Roman" w:cs="Arial"/>
          <w:lang w:val="el-GR"/>
        </w:rPr>
        <w:t xml:space="preserve">ράξης στην ΕΥΔ ΕΠΑΝΕΚ, προκειμένου να </w:t>
      </w:r>
      <w:r w:rsidR="008F3B0D" w:rsidRPr="00B24AD4">
        <w:rPr>
          <w:rFonts w:eastAsia="Times New Roman" w:cs="Arial"/>
          <w:lang w:val="el-GR"/>
        </w:rPr>
        <w:t xml:space="preserve">τύχουν χρηματοδότησης από το </w:t>
      </w:r>
      <w:r w:rsidRPr="00B24AD4">
        <w:rPr>
          <w:rFonts w:eastAsia="Times New Roman" w:cs="Arial"/>
          <w:lang w:val="el-GR"/>
        </w:rPr>
        <w:t xml:space="preserve"> ΕΠΑΝΕΚ 2014-20. </w:t>
      </w:r>
    </w:p>
    <w:p w:rsidR="00975922" w:rsidRPr="00B24AD4" w:rsidRDefault="00975922" w:rsidP="00975922">
      <w:pPr>
        <w:spacing w:after="0" w:line="240" w:lineRule="auto"/>
        <w:jc w:val="both"/>
        <w:rPr>
          <w:rFonts w:eastAsia="Times New Roman" w:cs="Arial"/>
          <w:lang w:val="el-GR"/>
        </w:rPr>
      </w:pPr>
      <w:r w:rsidRPr="00B24AD4">
        <w:rPr>
          <w:rFonts w:eastAsia="Times New Roman" w:cs="Arial"/>
          <w:lang w:val="el-GR"/>
        </w:rPr>
        <w:t xml:space="preserve"> </w:t>
      </w:r>
    </w:p>
    <w:p w:rsidR="00975922" w:rsidRPr="00B24AD4" w:rsidRDefault="00935383" w:rsidP="00975922">
      <w:pPr>
        <w:spacing w:after="0" w:line="240" w:lineRule="auto"/>
        <w:jc w:val="both"/>
        <w:rPr>
          <w:rFonts w:eastAsia="Times New Roman" w:cs="Arial"/>
          <w:b/>
          <w:lang w:val="el-GR"/>
        </w:rPr>
      </w:pPr>
      <w:r w:rsidRPr="00B24AD4">
        <w:rPr>
          <w:rFonts w:eastAsia="Times New Roman" w:cs="Arial"/>
          <w:b/>
          <w:lang w:val="el-GR"/>
        </w:rPr>
        <w:t>Το σύνολο των υποδομών ΕΤΑΚ εθνικής εμβέλειας που θα επιλεγούν για χρηματοδότηση από το ΕΠΑΝΕΚ, θα  ενταχθούν στο Πολυετές Σχέδιο Χρηματοδότησης των ερευνητικών υποδομών, το οποίο και θα ανακοινωθεί στην Ευρωπαϊκή Επιτροπή προκειμένου να εκπληρωθεί η εκ των προτέρων αιρεσιμότητα 1.2.</w:t>
      </w:r>
    </w:p>
    <w:p w:rsidR="00C34142" w:rsidRPr="00B24AD4" w:rsidRDefault="00C34142" w:rsidP="00975922">
      <w:pPr>
        <w:spacing w:after="0" w:line="240" w:lineRule="auto"/>
        <w:jc w:val="both"/>
        <w:rPr>
          <w:rFonts w:eastAsia="Times New Roman" w:cs="Arial"/>
          <w:b/>
          <w:lang w:val="el-GR"/>
        </w:rPr>
      </w:pPr>
    </w:p>
    <w:p w:rsidR="00686F76" w:rsidRPr="00B24AD4" w:rsidRDefault="00686F76" w:rsidP="00474D01">
      <w:pPr>
        <w:spacing w:after="0" w:line="240" w:lineRule="auto"/>
        <w:jc w:val="both"/>
        <w:rPr>
          <w:color w:val="000000"/>
          <w:lang w:val="el-GR"/>
        </w:rPr>
      </w:pPr>
    </w:p>
    <w:sectPr w:rsidR="00686F76" w:rsidRPr="00B24AD4" w:rsidSect="00474D01">
      <w:footerReference w:type="default" r:id="rId8"/>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7A7E16" w15:done="0"/>
  <w15:commentEx w15:paraId="7143F45F" w15:done="0"/>
  <w15:commentEx w15:paraId="52EBBA7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6EB" w:rsidRDefault="004746EB" w:rsidP="00D95602">
      <w:pPr>
        <w:spacing w:after="0" w:line="240" w:lineRule="auto"/>
      </w:pPr>
      <w:r>
        <w:separator/>
      </w:r>
    </w:p>
  </w:endnote>
  <w:endnote w:type="continuationSeparator" w:id="0">
    <w:p w:rsidR="004746EB" w:rsidRDefault="004746EB" w:rsidP="00D95602">
      <w:pPr>
        <w:spacing w:after="0" w:line="240" w:lineRule="auto"/>
      </w:pPr>
      <w:r>
        <w:continuationSeparator/>
      </w:r>
    </w:p>
  </w:endnote>
  <w:endnote w:id="1">
    <w:p w:rsidR="0058598D" w:rsidRPr="00474D01" w:rsidRDefault="0058598D" w:rsidP="0058598D">
      <w:pPr>
        <w:rPr>
          <w:sz w:val="16"/>
          <w:szCs w:val="16"/>
          <w:lang w:val="en-US"/>
        </w:rPr>
      </w:pPr>
      <w:r w:rsidRPr="00474D01">
        <w:rPr>
          <w:rStyle w:val="ab"/>
          <w:sz w:val="16"/>
          <w:szCs w:val="16"/>
        </w:rPr>
        <w:endnoteRef/>
      </w:r>
      <w:r w:rsidRPr="00474D01">
        <w:rPr>
          <w:sz w:val="16"/>
          <w:szCs w:val="16"/>
          <w:lang w:val="en-US"/>
        </w:rPr>
        <w:t xml:space="preserve"> </w:t>
      </w:r>
      <w:r w:rsidRPr="00474D01">
        <w:rPr>
          <w:b/>
          <w:sz w:val="16"/>
          <w:szCs w:val="16"/>
          <w:lang w:val="en-US"/>
        </w:rPr>
        <w:t>‘</w:t>
      </w:r>
      <w:r w:rsidRPr="00474D01">
        <w:rPr>
          <w:b/>
          <w:i/>
          <w:sz w:val="16"/>
          <w:szCs w:val="16"/>
          <w:lang w:val="en-US"/>
        </w:rPr>
        <w:t>Research infrastructure’</w:t>
      </w:r>
      <w:r w:rsidRPr="00474D01">
        <w:rPr>
          <w:i/>
          <w:sz w:val="16"/>
          <w:szCs w:val="16"/>
          <w:lang w:val="en-US"/>
        </w:rPr>
        <w:t xml:space="preserve"> means facilities, resources and related services that are used by the scientific community to conduct research in their respective fields and covers scientific equipment or sets of instruments, knowledge - based resources such as collections, archives or structured scientific information, enabling information and communication technology-based infrastructures such as grid, computing, software and communication, or any other entity of a unique nature essential to conduct research. Such infrastructures may be ‘single-sited’ or ‘distributed’ (an organized network of resources) in accordance with Article 2(a) of Council Regulation (EC) No 723/2009 of 25 June 2009 on the Community legal framework for a European Research Infrastructure Consortium (ERIC)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0657"/>
      <w:docPartObj>
        <w:docPartGallery w:val="Page Numbers (Bottom of Page)"/>
        <w:docPartUnique/>
      </w:docPartObj>
    </w:sdtPr>
    <w:sdtContent>
      <w:p w:rsidR="00C646A4" w:rsidRDefault="00B13FD8">
        <w:pPr>
          <w:pStyle w:val="ad"/>
          <w:jc w:val="right"/>
        </w:pPr>
        <w:fldSimple w:instr=" PAGE   \* MERGEFORMAT ">
          <w:r w:rsidR="00A91192">
            <w:rPr>
              <w:noProof/>
            </w:rPr>
            <w:t>3</w:t>
          </w:r>
        </w:fldSimple>
      </w:p>
    </w:sdtContent>
  </w:sdt>
  <w:p w:rsidR="00C646A4" w:rsidRDefault="00C646A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6EB" w:rsidRDefault="004746EB" w:rsidP="00D95602">
      <w:pPr>
        <w:spacing w:after="0" w:line="240" w:lineRule="auto"/>
      </w:pPr>
      <w:r>
        <w:separator/>
      </w:r>
    </w:p>
  </w:footnote>
  <w:footnote w:type="continuationSeparator" w:id="0">
    <w:p w:rsidR="004746EB" w:rsidRDefault="004746EB" w:rsidP="00D95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8A1"/>
    <w:multiLevelType w:val="hybridMultilevel"/>
    <w:tmpl w:val="3DAE931C"/>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B039DD"/>
    <w:multiLevelType w:val="hybridMultilevel"/>
    <w:tmpl w:val="23A851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A90526"/>
    <w:multiLevelType w:val="multilevel"/>
    <w:tmpl w:val="6436E3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D17D99"/>
    <w:multiLevelType w:val="hybridMultilevel"/>
    <w:tmpl w:val="B43859B8"/>
    <w:lvl w:ilvl="0" w:tplc="08090001">
      <w:start w:val="1"/>
      <w:numFmt w:val="bullet"/>
      <w:lvlText w:val=""/>
      <w:lvlJc w:val="left"/>
      <w:pPr>
        <w:ind w:left="720" w:hanging="360"/>
      </w:pPr>
      <w:rPr>
        <w:rFonts w:ascii="Symbol" w:hAnsi="Symbol" w:hint="default"/>
      </w:rPr>
    </w:lvl>
    <w:lvl w:ilvl="1" w:tplc="72083FCA">
      <w:start w:val="1"/>
      <w:numFmt w:val="bullet"/>
      <w:lvlText w:val="o"/>
      <w:lvlJc w:val="left"/>
      <w:pPr>
        <w:ind w:left="1440" w:hanging="360"/>
      </w:pPr>
      <w:rPr>
        <w:rFonts w:ascii="Courier New" w:hAnsi="Courier New" w:cs="Courier New"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238F8"/>
    <w:multiLevelType w:val="hybridMultilevel"/>
    <w:tmpl w:val="B40C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263C2"/>
    <w:multiLevelType w:val="hybridMultilevel"/>
    <w:tmpl w:val="0CBAB9C0"/>
    <w:lvl w:ilvl="0" w:tplc="67605D70">
      <w:start w:val="1"/>
      <w:numFmt w:val="decimal"/>
      <w:lvlText w:val="%1."/>
      <w:lvlJc w:val="left"/>
      <w:pPr>
        <w:ind w:left="720" w:hanging="360"/>
      </w:pPr>
      <w:rPr>
        <w:rFonts w:asciiTheme="minorHAnsi" w:hAnsi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163DE"/>
    <w:multiLevelType w:val="hybridMultilevel"/>
    <w:tmpl w:val="F466B5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A9B3C34"/>
    <w:multiLevelType w:val="hybridMultilevel"/>
    <w:tmpl w:val="B0F410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F591C10"/>
    <w:multiLevelType w:val="hybridMultilevel"/>
    <w:tmpl w:val="9F306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1961073"/>
    <w:multiLevelType w:val="hybridMultilevel"/>
    <w:tmpl w:val="E33AA784"/>
    <w:lvl w:ilvl="0" w:tplc="B870306A">
      <w:start w:val="1"/>
      <w:numFmt w:val="bullet"/>
      <w:lvlText w:val="-"/>
      <w:lvlJc w:val="left"/>
      <w:pPr>
        <w:ind w:left="720" w:hanging="360"/>
      </w:pPr>
      <w:rPr>
        <w:rFonts w:ascii="Calibri" w:eastAsia="Times New Roman" w:hAnsi="Calibri"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376147D1"/>
    <w:multiLevelType w:val="hybridMultilevel"/>
    <w:tmpl w:val="684E1946"/>
    <w:lvl w:ilvl="0" w:tplc="E6BAEC5C">
      <w:start w:val="1"/>
      <w:numFmt w:val="lowerLetter"/>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823EF2"/>
    <w:multiLevelType w:val="hybridMultilevel"/>
    <w:tmpl w:val="0AF6DECA"/>
    <w:lvl w:ilvl="0" w:tplc="04080001">
      <w:start w:val="1"/>
      <w:numFmt w:val="bullet"/>
      <w:lvlText w:val=""/>
      <w:lvlJc w:val="left"/>
      <w:pPr>
        <w:ind w:left="709" w:hanging="360"/>
      </w:pPr>
      <w:rPr>
        <w:rFonts w:ascii="Symbol" w:hAnsi="Symbol" w:hint="default"/>
      </w:rPr>
    </w:lvl>
    <w:lvl w:ilvl="1" w:tplc="04080003" w:tentative="1">
      <w:start w:val="1"/>
      <w:numFmt w:val="bullet"/>
      <w:lvlText w:val="o"/>
      <w:lvlJc w:val="left"/>
      <w:pPr>
        <w:ind w:left="1429" w:hanging="360"/>
      </w:pPr>
      <w:rPr>
        <w:rFonts w:ascii="Courier New" w:hAnsi="Courier New" w:cs="Courier New"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cs="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cs="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12">
    <w:nsid w:val="38D032D5"/>
    <w:multiLevelType w:val="hybridMultilevel"/>
    <w:tmpl w:val="042694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BD4676D"/>
    <w:multiLevelType w:val="hybridMultilevel"/>
    <w:tmpl w:val="4662810C"/>
    <w:lvl w:ilvl="0" w:tplc="AB648AB2">
      <w:numFmt w:val="bullet"/>
      <w:lvlText w:val="•"/>
      <w:lvlJc w:val="left"/>
      <w:pPr>
        <w:ind w:left="709" w:hanging="720"/>
      </w:pPr>
      <w:rPr>
        <w:rFonts w:ascii="Calibri" w:eastAsia="Times New Roman" w:hAnsi="Calibri" w:cs="Times New Roman" w:hint="default"/>
      </w:rPr>
    </w:lvl>
    <w:lvl w:ilvl="1" w:tplc="04080003" w:tentative="1">
      <w:start w:val="1"/>
      <w:numFmt w:val="bullet"/>
      <w:lvlText w:val="o"/>
      <w:lvlJc w:val="left"/>
      <w:pPr>
        <w:ind w:left="1069" w:hanging="360"/>
      </w:pPr>
      <w:rPr>
        <w:rFonts w:ascii="Courier New" w:hAnsi="Courier New" w:cs="Courier New" w:hint="default"/>
      </w:rPr>
    </w:lvl>
    <w:lvl w:ilvl="2" w:tplc="04080005" w:tentative="1">
      <w:start w:val="1"/>
      <w:numFmt w:val="bullet"/>
      <w:lvlText w:val=""/>
      <w:lvlJc w:val="left"/>
      <w:pPr>
        <w:ind w:left="1789" w:hanging="360"/>
      </w:pPr>
      <w:rPr>
        <w:rFonts w:ascii="Wingdings" w:hAnsi="Wingdings" w:hint="default"/>
      </w:rPr>
    </w:lvl>
    <w:lvl w:ilvl="3" w:tplc="04080001" w:tentative="1">
      <w:start w:val="1"/>
      <w:numFmt w:val="bullet"/>
      <w:lvlText w:val=""/>
      <w:lvlJc w:val="left"/>
      <w:pPr>
        <w:ind w:left="2509" w:hanging="360"/>
      </w:pPr>
      <w:rPr>
        <w:rFonts w:ascii="Symbol" w:hAnsi="Symbol" w:hint="default"/>
      </w:rPr>
    </w:lvl>
    <w:lvl w:ilvl="4" w:tplc="04080003" w:tentative="1">
      <w:start w:val="1"/>
      <w:numFmt w:val="bullet"/>
      <w:lvlText w:val="o"/>
      <w:lvlJc w:val="left"/>
      <w:pPr>
        <w:ind w:left="3229" w:hanging="360"/>
      </w:pPr>
      <w:rPr>
        <w:rFonts w:ascii="Courier New" w:hAnsi="Courier New" w:cs="Courier New" w:hint="default"/>
      </w:rPr>
    </w:lvl>
    <w:lvl w:ilvl="5" w:tplc="04080005" w:tentative="1">
      <w:start w:val="1"/>
      <w:numFmt w:val="bullet"/>
      <w:lvlText w:val=""/>
      <w:lvlJc w:val="left"/>
      <w:pPr>
        <w:ind w:left="3949" w:hanging="360"/>
      </w:pPr>
      <w:rPr>
        <w:rFonts w:ascii="Wingdings" w:hAnsi="Wingdings" w:hint="default"/>
      </w:rPr>
    </w:lvl>
    <w:lvl w:ilvl="6" w:tplc="04080001" w:tentative="1">
      <w:start w:val="1"/>
      <w:numFmt w:val="bullet"/>
      <w:lvlText w:val=""/>
      <w:lvlJc w:val="left"/>
      <w:pPr>
        <w:ind w:left="4669" w:hanging="360"/>
      </w:pPr>
      <w:rPr>
        <w:rFonts w:ascii="Symbol" w:hAnsi="Symbol" w:hint="default"/>
      </w:rPr>
    </w:lvl>
    <w:lvl w:ilvl="7" w:tplc="04080003" w:tentative="1">
      <w:start w:val="1"/>
      <w:numFmt w:val="bullet"/>
      <w:lvlText w:val="o"/>
      <w:lvlJc w:val="left"/>
      <w:pPr>
        <w:ind w:left="5389" w:hanging="360"/>
      </w:pPr>
      <w:rPr>
        <w:rFonts w:ascii="Courier New" w:hAnsi="Courier New" w:cs="Courier New" w:hint="default"/>
      </w:rPr>
    </w:lvl>
    <w:lvl w:ilvl="8" w:tplc="04080005" w:tentative="1">
      <w:start w:val="1"/>
      <w:numFmt w:val="bullet"/>
      <w:lvlText w:val=""/>
      <w:lvlJc w:val="left"/>
      <w:pPr>
        <w:ind w:left="6109" w:hanging="360"/>
      </w:pPr>
      <w:rPr>
        <w:rFonts w:ascii="Wingdings" w:hAnsi="Wingdings" w:hint="default"/>
      </w:rPr>
    </w:lvl>
  </w:abstractNum>
  <w:abstractNum w:abstractNumId="14">
    <w:nsid w:val="44EE3188"/>
    <w:multiLevelType w:val="hybridMultilevel"/>
    <w:tmpl w:val="CCF467D2"/>
    <w:lvl w:ilvl="0" w:tplc="EAECE82E">
      <w:start w:val="1"/>
      <w:numFmt w:val="upperLetter"/>
      <w:lvlText w:val="%1."/>
      <w:lvlJc w:val="left"/>
      <w:pPr>
        <w:ind w:left="720" w:hanging="360"/>
      </w:pPr>
      <w:rPr>
        <w:rFonts w:hint="default"/>
        <w:i/>
        <w:color w:val="1F497D" w:themeColor="text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B2423E"/>
    <w:multiLevelType w:val="hybridMultilevel"/>
    <w:tmpl w:val="684E1946"/>
    <w:lvl w:ilvl="0" w:tplc="E6BAEC5C">
      <w:start w:val="1"/>
      <w:numFmt w:val="lowerLetter"/>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F41F20"/>
    <w:multiLevelType w:val="hybridMultilevel"/>
    <w:tmpl w:val="CCF467D2"/>
    <w:lvl w:ilvl="0" w:tplc="EAECE82E">
      <w:start w:val="1"/>
      <w:numFmt w:val="upperLetter"/>
      <w:lvlText w:val="%1."/>
      <w:lvlJc w:val="left"/>
      <w:pPr>
        <w:ind w:left="720" w:hanging="360"/>
      </w:pPr>
      <w:rPr>
        <w:rFonts w:hint="default"/>
        <w:i/>
        <w:color w:val="1F497D" w:themeColor="text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DEB0883"/>
    <w:multiLevelType w:val="hybridMultilevel"/>
    <w:tmpl w:val="F62454A4"/>
    <w:lvl w:ilvl="0" w:tplc="E94A4412">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7770EE"/>
    <w:multiLevelType w:val="hybridMultilevel"/>
    <w:tmpl w:val="2142552A"/>
    <w:lvl w:ilvl="0" w:tplc="7D00F79A">
      <w:start w:val="1"/>
      <w:numFmt w:val="lowerLetter"/>
      <w:lvlText w:val="%1."/>
      <w:lvlJc w:val="left"/>
      <w:pPr>
        <w:ind w:left="720" w:hanging="360"/>
      </w:pPr>
      <w:rPr>
        <w:rFonts w:hint="default"/>
        <w:b/>
        <w:i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8644A25"/>
    <w:multiLevelType w:val="multilevel"/>
    <w:tmpl w:val="522493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4B77CE7"/>
    <w:multiLevelType w:val="hybridMultilevel"/>
    <w:tmpl w:val="684E1946"/>
    <w:lvl w:ilvl="0" w:tplc="E6BAEC5C">
      <w:start w:val="1"/>
      <w:numFmt w:val="lowerLetter"/>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C1A5D60"/>
    <w:multiLevelType w:val="hybridMultilevel"/>
    <w:tmpl w:val="684E1946"/>
    <w:lvl w:ilvl="0" w:tplc="E6BAEC5C">
      <w:start w:val="1"/>
      <w:numFmt w:val="lowerLetter"/>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676F48"/>
    <w:multiLevelType w:val="hybridMultilevel"/>
    <w:tmpl w:val="C512ED72"/>
    <w:lvl w:ilvl="0" w:tplc="374823E6">
      <w:start w:val="1"/>
      <w:numFmt w:val="bullet"/>
      <w:lvlText w:val="-"/>
      <w:lvlJc w:val="right"/>
      <w:pPr>
        <w:ind w:left="1440" w:hanging="360"/>
      </w:pPr>
      <w:rPr>
        <w:rFonts w:ascii="Arial" w:hAnsi="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75E64FA9"/>
    <w:multiLevelType w:val="hybridMultilevel"/>
    <w:tmpl w:val="87A446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7E0612A2"/>
    <w:multiLevelType w:val="hybridMultilevel"/>
    <w:tmpl w:val="684E1946"/>
    <w:lvl w:ilvl="0" w:tplc="E6BAEC5C">
      <w:start w:val="1"/>
      <w:numFmt w:val="lowerLetter"/>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E61205C"/>
    <w:multiLevelType w:val="hybridMultilevel"/>
    <w:tmpl w:val="684E1946"/>
    <w:lvl w:ilvl="0" w:tplc="E6BAEC5C">
      <w:start w:val="1"/>
      <w:numFmt w:val="lowerLetter"/>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F3C0562"/>
    <w:multiLevelType w:val="hybridMultilevel"/>
    <w:tmpl w:val="800A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26"/>
  </w:num>
  <w:num w:numId="6">
    <w:abstractNumId w:val="5"/>
  </w:num>
  <w:num w:numId="7">
    <w:abstractNumId w:val="21"/>
  </w:num>
  <w:num w:numId="8">
    <w:abstractNumId w:val="24"/>
  </w:num>
  <w:num w:numId="9">
    <w:abstractNumId w:val="15"/>
  </w:num>
  <w:num w:numId="10">
    <w:abstractNumId w:val="20"/>
  </w:num>
  <w:num w:numId="11">
    <w:abstractNumId w:val="10"/>
  </w:num>
  <w:num w:numId="12">
    <w:abstractNumId w:val="25"/>
  </w:num>
  <w:num w:numId="13">
    <w:abstractNumId w:val="17"/>
  </w:num>
  <w:num w:numId="14">
    <w:abstractNumId w:val="16"/>
  </w:num>
  <w:num w:numId="15">
    <w:abstractNumId w:val="14"/>
  </w:num>
  <w:num w:numId="16">
    <w:abstractNumId w:val="18"/>
  </w:num>
  <w:num w:numId="17">
    <w:abstractNumId w:val="23"/>
  </w:num>
  <w:num w:numId="18">
    <w:abstractNumId w:val="19"/>
  </w:num>
  <w:num w:numId="19">
    <w:abstractNumId w:val="7"/>
  </w:num>
  <w:num w:numId="20">
    <w:abstractNumId w:val="9"/>
  </w:num>
  <w:num w:numId="21">
    <w:abstractNumId w:val="3"/>
  </w:num>
  <w:num w:numId="22">
    <w:abstractNumId w:val="0"/>
  </w:num>
  <w:num w:numId="23">
    <w:abstractNumId w:val="6"/>
  </w:num>
  <w:num w:numId="24">
    <w:abstractNumId w:val="11"/>
  </w:num>
  <w:num w:numId="25">
    <w:abstractNumId w:val="13"/>
  </w:num>
  <w:num w:numId="26">
    <w:abstractNumId w:val="22"/>
  </w:num>
  <w:num w:numId="2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686F76"/>
    <w:rsid w:val="000115E6"/>
    <w:rsid w:val="00023770"/>
    <w:rsid w:val="000D3F9D"/>
    <w:rsid w:val="000E11E3"/>
    <w:rsid w:val="000F0360"/>
    <w:rsid w:val="000F09FD"/>
    <w:rsid w:val="000F3CB9"/>
    <w:rsid w:val="00105B96"/>
    <w:rsid w:val="00141237"/>
    <w:rsid w:val="001671F3"/>
    <w:rsid w:val="0017349C"/>
    <w:rsid w:val="001A2C96"/>
    <w:rsid w:val="001B1B7F"/>
    <w:rsid w:val="001B3558"/>
    <w:rsid w:val="001F5771"/>
    <w:rsid w:val="001F6B92"/>
    <w:rsid w:val="002146A0"/>
    <w:rsid w:val="002438E1"/>
    <w:rsid w:val="00250698"/>
    <w:rsid w:val="002775DC"/>
    <w:rsid w:val="0028405B"/>
    <w:rsid w:val="002A38EE"/>
    <w:rsid w:val="002B66FF"/>
    <w:rsid w:val="002C13E7"/>
    <w:rsid w:val="002E23F5"/>
    <w:rsid w:val="002F7830"/>
    <w:rsid w:val="00300DE1"/>
    <w:rsid w:val="00302FD2"/>
    <w:rsid w:val="00303B5D"/>
    <w:rsid w:val="00347F61"/>
    <w:rsid w:val="00366693"/>
    <w:rsid w:val="00383806"/>
    <w:rsid w:val="003955C6"/>
    <w:rsid w:val="00396844"/>
    <w:rsid w:val="003B5266"/>
    <w:rsid w:val="003D5DDE"/>
    <w:rsid w:val="003E1817"/>
    <w:rsid w:val="0040467F"/>
    <w:rsid w:val="00422143"/>
    <w:rsid w:val="00431B74"/>
    <w:rsid w:val="00433152"/>
    <w:rsid w:val="00441F36"/>
    <w:rsid w:val="004746EB"/>
    <w:rsid w:val="00474D01"/>
    <w:rsid w:val="00485492"/>
    <w:rsid w:val="004A76A5"/>
    <w:rsid w:val="004A7D54"/>
    <w:rsid w:val="004C0B73"/>
    <w:rsid w:val="004C1079"/>
    <w:rsid w:val="004C29EE"/>
    <w:rsid w:val="004F6E4B"/>
    <w:rsid w:val="00501AA0"/>
    <w:rsid w:val="00516BA6"/>
    <w:rsid w:val="00522335"/>
    <w:rsid w:val="0058598D"/>
    <w:rsid w:val="00594054"/>
    <w:rsid w:val="005A62D3"/>
    <w:rsid w:val="005B54DC"/>
    <w:rsid w:val="005C7F53"/>
    <w:rsid w:val="005E2310"/>
    <w:rsid w:val="005F4A2C"/>
    <w:rsid w:val="00624A48"/>
    <w:rsid w:val="00643510"/>
    <w:rsid w:val="006666C7"/>
    <w:rsid w:val="006759BC"/>
    <w:rsid w:val="00686F76"/>
    <w:rsid w:val="006A422D"/>
    <w:rsid w:val="006A7E47"/>
    <w:rsid w:val="0072570B"/>
    <w:rsid w:val="00727502"/>
    <w:rsid w:val="0074220B"/>
    <w:rsid w:val="007669A0"/>
    <w:rsid w:val="007803A5"/>
    <w:rsid w:val="00790FF0"/>
    <w:rsid w:val="00795D3B"/>
    <w:rsid w:val="007B7A09"/>
    <w:rsid w:val="007C0CFE"/>
    <w:rsid w:val="007C1ACE"/>
    <w:rsid w:val="007F375B"/>
    <w:rsid w:val="007F454B"/>
    <w:rsid w:val="008046EA"/>
    <w:rsid w:val="008170C1"/>
    <w:rsid w:val="00827EF1"/>
    <w:rsid w:val="00831A30"/>
    <w:rsid w:val="008335F6"/>
    <w:rsid w:val="00833D90"/>
    <w:rsid w:val="0083526E"/>
    <w:rsid w:val="00840B37"/>
    <w:rsid w:val="00856BD8"/>
    <w:rsid w:val="00883865"/>
    <w:rsid w:val="0088786D"/>
    <w:rsid w:val="008B038C"/>
    <w:rsid w:val="008D599C"/>
    <w:rsid w:val="008F2F7D"/>
    <w:rsid w:val="008F3B0D"/>
    <w:rsid w:val="00903579"/>
    <w:rsid w:val="00912899"/>
    <w:rsid w:val="009266F5"/>
    <w:rsid w:val="00935383"/>
    <w:rsid w:val="00975922"/>
    <w:rsid w:val="00986970"/>
    <w:rsid w:val="00997F5B"/>
    <w:rsid w:val="009D0087"/>
    <w:rsid w:val="009E18BF"/>
    <w:rsid w:val="009F2F55"/>
    <w:rsid w:val="009F58CE"/>
    <w:rsid w:val="00A45CF2"/>
    <w:rsid w:val="00A47EA0"/>
    <w:rsid w:val="00A5302C"/>
    <w:rsid w:val="00A76B39"/>
    <w:rsid w:val="00A91192"/>
    <w:rsid w:val="00AF758C"/>
    <w:rsid w:val="00B01983"/>
    <w:rsid w:val="00B1144B"/>
    <w:rsid w:val="00B13FD8"/>
    <w:rsid w:val="00B21B88"/>
    <w:rsid w:val="00B235B4"/>
    <w:rsid w:val="00B24AD4"/>
    <w:rsid w:val="00B30728"/>
    <w:rsid w:val="00B5616A"/>
    <w:rsid w:val="00BF4D68"/>
    <w:rsid w:val="00C34142"/>
    <w:rsid w:val="00C422A2"/>
    <w:rsid w:val="00C56083"/>
    <w:rsid w:val="00C6438C"/>
    <w:rsid w:val="00C646A4"/>
    <w:rsid w:val="00CD06DE"/>
    <w:rsid w:val="00CD2838"/>
    <w:rsid w:val="00CE7A7A"/>
    <w:rsid w:val="00CF29DB"/>
    <w:rsid w:val="00D30AF1"/>
    <w:rsid w:val="00D54AEF"/>
    <w:rsid w:val="00D95602"/>
    <w:rsid w:val="00DC352A"/>
    <w:rsid w:val="00DC4727"/>
    <w:rsid w:val="00DE2030"/>
    <w:rsid w:val="00DF03CD"/>
    <w:rsid w:val="00DF4A89"/>
    <w:rsid w:val="00E14FFD"/>
    <w:rsid w:val="00E32349"/>
    <w:rsid w:val="00E749BA"/>
    <w:rsid w:val="00EC22C7"/>
    <w:rsid w:val="00EC53EE"/>
    <w:rsid w:val="00ED37CD"/>
    <w:rsid w:val="00ED6194"/>
    <w:rsid w:val="00EE2639"/>
    <w:rsid w:val="00F15A54"/>
    <w:rsid w:val="00F32A47"/>
    <w:rsid w:val="00F4639F"/>
    <w:rsid w:val="00F71ACC"/>
    <w:rsid w:val="00F74AEB"/>
    <w:rsid w:val="00F774C5"/>
    <w:rsid w:val="00FA3FAA"/>
    <w:rsid w:val="00FD6F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83"/>
  </w:style>
  <w:style w:type="paragraph" w:styleId="4">
    <w:name w:val="heading 4"/>
    <w:basedOn w:val="a"/>
    <w:link w:val="4Char"/>
    <w:qFormat/>
    <w:rsid w:val="006A422D"/>
    <w:pPr>
      <w:spacing w:before="100" w:beforeAutospacing="1" w:after="100" w:afterAutospacing="1" w:line="240" w:lineRule="auto"/>
      <w:outlineLvl w:val="3"/>
    </w:pPr>
    <w:rPr>
      <w:rFonts w:ascii="Times New Roman" w:eastAsia="MS Mincho" w:hAnsi="Times New Roman" w:cs="Times New Roman"/>
      <w:b/>
      <w:bCs/>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6F76"/>
  </w:style>
  <w:style w:type="character" w:styleId="a3">
    <w:name w:val="Strong"/>
    <w:basedOn w:val="a0"/>
    <w:uiPriority w:val="22"/>
    <w:qFormat/>
    <w:rsid w:val="00686F76"/>
    <w:rPr>
      <w:b/>
      <w:bCs/>
    </w:rPr>
  </w:style>
  <w:style w:type="paragraph" w:styleId="a4">
    <w:name w:val="List Paragraph"/>
    <w:basedOn w:val="a"/>
    <w:uiPriority w:val="34"/>
    <w:qFormat/>
    <w:rsid w:val="004A7D54"/>
    <w:pPr>
      <w:ind w:left="720"/>
      <w:contextualSpacing/>
    </w:pPr>
  </w:style>
  <w:style w:type="paragraph" w:styleId="a5">
    <w:name w:val="footnote text"/>
    <w:basedOn w:val="a"/>
    <w:link w:val="Char"/>
    <w:uiPriority w:val="99"/>
    <w:semiHidden/>
    <w:unhideWhenUsed/>
    <w:rsid w:val="00D95602"/>
    <w:pPr>
      <w:spacing w:after="0" w:line="240" w:lineRule="auto"/>
    </w:pPr>
    <w:rPr>
      <w:sz w:val="20"/>
      <w:szCs w:val="20"/>
    </w:rPr>
  </w:style>
  <w:style w:type="character" w:customStyle="1" w:styleId="Char">
    <w:name w:val="Κείμενο υποσημείωσης Char"/>
    <w:basedOn w:val="a0"/>
    <w:link w:val="a5"/>
    <w:uiPriority w:val="99"/>
    <w:semiHidden/>
    <w:rsid w:val="00D95602"/>
    <w:rPr>
      <w:sz w:val="20"/>
      <w:szCs w:val="20"/>
    </w:rPr>
  </w:style>
  <w:style w:type="character" w:styleId="a6">
    <w:name w:val="footnote reference"/>
    <w:basedOn w:val="a0"/>
    <w:uiPriority w:val="99"/>
    <w:semiHidden/>
    <w:unhideWhenUsed/>
    <w:rsid w:val="00D95602"/>
    <w:rPr>
      <w:vertAlign w:val="superscript"/>
    </w:rPr>
  </w:style>
  <w:style w:type="character" w:customStyle="1" w:styleId="4Char">
    <w:name w:val="Επικεφαλίδα 4 Char"/>
    <w:basedOn w:val="a0"/>
    <w:link w:val="4"/>
    <w:rsid w:val="006A422D"/>
    <w:rPr>
      <w:rFonts w:ascii="Times New Roman" w:eastAsia="MS Mincho" w:hAnsi="Times New Roman" w:cs="Times New Roman"/>
      <w:b/>
      <w:bCs/>
      <w:sz w:val="24"/>
      <w:szCs w:val="24"/>
      <w:lang w:eastAsia="ja-JP"/>
    </w:rPr>
  </w:style>
  <w:style w:type="paragraph" w:styleId="Web">
    <w:name w:val="Normal (Web)"/>
    <w:basedOn w:val="a"/>
    <w:uiPriority w:val="99"/>
    <w:rsid w:val="006A422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bodytext">
    <w:name w:val="bodytext"/>
    <w:basedOn w:val="a"/>
    <w:rsid w:val="006A42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annotation reference"/>
    <w:basedOn w:val="a0"/>
    <w:unhideWhenUsed/>
    <w:rsid w:val="001B1B7F"/>
    <w:rPr>
      <w:sz w:val="18"/>
      <w:szCs w:val="18"/>
    </w:rPr>
  </w:style>
  <w:style w:type="paragraph" w:styleId="a8">
    <w:name w:val="annotation text"/>
    <w:basedOn w:val="a"/>
    <w:link w:val="Char0"/>
    <w:unhideWhenUsed/>
    <w:rsid w:val="001B1B7F"/>
    <w:pPr>
      <w:spacing w:line="240" w:lineRule="auto"/>
    </w:pPr>
    <w:rPr>
      <w:sz w:val="24"/>
      <w:szCs w:val="24"/>
    </w:rPr>
  </w:style>
  <w:style w:type="character" w:customStyle="1" w:styleId="Char0">
    <w:name w:val="Κείμενο σχολίου Char"/>
    <w:basedOn w:val="a0"/>
    <w:link w:val="a8"/>
    <w:rsid w:val="001B1B7F"/>
    <w:rPr>
      <w:sz w:val="24"/>
      <w:szCs w:val="24"/>
    </w:rPr>
  </w:style>
  <w:style w:type="paragraph" w:styleId="a9">
    <w:name w:val="annotation subject"/>
    <w:basedOn w:val="a8"/>
    <w:next w:val="a8"/>
    <w:link w:val="Char1"/>
    <w:uiPriority w:val="99"/>
    <w:semiHidden/>
    <w:unhideWhenUsed/>
    <w:rsid w:val="001B1B7F"/>
    <w:rPr>
      <w:b/>
      <w:bCs/>
      <w:sz w:val="20"/>
      <w:szCs w:val="20"/>
    </w:rPr>
  </w:style>
  <w:style w:type="character" w:customStyle="1" w:styleId="Char1">
    <w:name w:val="Θέμα σχολίου Char"/>
    <w:basedOn w:val="Char0"/>
    <w:link w:val="a9"/>
    <w:uiPriority w:val="99"/>
    <w:semiHidden/>
    <w:rsid w:val="001B1B7F"/>
    <w:rPr>
      <w:b/>
      <w:bCs/>
      <w:sz w:val="20"/>
      <w:szCs w:val="20"/>
    </w:rPr>
  </w:style>
  <w:style w:type="paragraph" w:styleId="aa">
    <w:name w:val="Balloon Text"/>
    <w:basedOn w:val="a"/>
    <w:link w:val="Char2"/>
    <w:uiPriority w:val="99"/>
    <w:semiHidden/>
    <w:unhideWhenUsed/>
    <w:rsid w:val="001B1B7F"/>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a"/>
    <w:uiPriority w:val="99"/>
    <w:semiHidden/>
    <w:rsid w:val="001B1B7F"/>
    <w:rPr>
      <w:rFonts w:ascii="Times New Roman" w:hAnsi="Times New Roman" w:cs="Times New Roman"/>
      <w:sz w:val="18"/>
      <w:szCs w:val="18"/>
    </w:rPr>
  </w:style>
  <w:style w:type="character" w:styleId="ab">
    <w:name w:val="endnote reference"/>
    <w:basedOn w:val="a0"/>
    <w:uiPriority w:val="99"/>
    <w:semiHidden/>
    <w:unhideWhenUsed/>
    <w:rsid w:val="00A5302C"/>
    <w:rPr>
      <w:vertAlign w:val="superscript"/>
    </w:rPr>
  </w:style>
  <w:style w:type="paragraph" w:styleId="ac">
    <w:name w:val="header"/>
    <w:basedOn w:val="a"/>
    <w:link w:val="Char3"/>
    <w:uiPriority w:val="99"/>
    <w:semiHidden/>
    <w:unhideWhenUsed/>
    <w:rsid w:val="00B5616A"/>
    <w:pPr>
      <w:tabs>
        <w:tab w:val="center" w:pos="4153"/>
        <w:tab w:val="right" w:pos="8306"/>
      </w:tabs>
      <w:spacing w:after="0" w:line="240" w:lineRule="auto"/>
    </w:pPr>
  </w:style>
  <w:style w:type="character" w:customStyle="1" w:styleId="Char3">
    <w:name w:val="Κεφαλίδα Char"/>
    <w:basedOn w:val="a0"/>
    <w:link w:val="ac"/>
    <w:uiPriority w:val="99"/>
    <w:semiHidden/>
    <w:rsid w:val="00B5616A"/>
  </w:style>
  <w:style w:type="paragraph" w:styleId="ad">
    <w:name w:val="footer"/>
    <w:basedOn w:val="a"/>
    <w:link w:val="Char4"/>
    <w:uiPriority w:val="99"/>
    <w:unhideWhenUsed/>
    <w:rsid w:val="00B5616A"/>
    <w:pPr>
      <w:tabs>
        <w:tab w:val="center" w:pos="4153"/>
        <w:tab w:val="right" w:pos="8306"/>
      </w:tabs>
      <w:spacing w:after="0" w:line="240" w:lineRule="auto"/>
    </w:pPr>
  </w:style>
  <w:style w:type="character" w:customStyle="1" w:styleId="Char4">
    <w:name w:val="Υποσέλιδο Char"/>
    <w:basedOn w:val="a0"/>
    <w:link w:val="ad"/>
    <w:uiPriority w:val="99"/>
    <w:rsid w:val="00B5616A"/>
  </w:style>
  <w:style w:type="character" w:styleId="-">
    <w:name w:val="Hyperlink"/>
    <w:basedOn w:val="a0"/>
    <w:uiPriority w:val="99"/>
    <w:unhideWhenUsed/>
    <w:rsid w:val="00DC3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6A422D"/>
    <w:pPr>
      <w:spacing w:before="100" w:beforeAutospacing="1" w:after="100" w:afterAutospacing="1" w:line="240" w:lineRule="auto"/>
      <w:outlineLvl w:val="3"/>
    </w:pPr>
    <w:rPr>
      <w:rFonts w:ascii="Times New Roman" w:eastAsia="MS Mincho" w:hAnsi="Times New Roman" w:cs="Times New Roman"/>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6F76"/>
  </w:style>
  <w:style w:type="character" w:styleId="Strong">
    <w:name w:val="Strong"/>
    <w:basedOn w:val="DefaultParagraphFont"/>
    <w:uiPriority w:val="22"/>
    <w:qFormat/>
    <w:rsid w:val="00686F76"/>
    <w:rPr>
      <w:b/>
      <w:bCs/>
    </w:rPr>
  </w:style>
  <w:style w:type="paragraph" w:styleId="ListParagraph">
    <w:name w:val="List Paragraph"/>
    <w:basedOn w:val="Normal"/>
    <w:uiPriority w:val="34"/>
    <w:qFormat/>
    <w:rsid w:val="004A7D54"/>
    <w:pPr>
      <w:ind w:left="720"/>
      <w:contextualSpacing/>
    </w:pPr>
  </w:style>
  <w:style w:type="paragraph" w:styleId="FootnoteText">
    <w:name w:val="footnote text"/>
    <w:basedOn w:val="Normal"/>
    <w:link w:val="FootnoteTextChar"/>
    <w:uiPriority w:val="99"/>
    <w:semiHidden/>
    <w:unhideWhenUsed/>
    <w:rsid w:val="00D95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602"/>
    <w:rPr>
      <w:sz w:val="20"/>
      <w:szCs w:val="20"/>
    </w:rPr>
  </w:style>
  <w:style w:type="character" w:styleId="FootnoteReference">
    <w:name w:val="footnote reference"/>
    <w:basedOn w:val="DefaultParagraphFont"/>
    <w:uiPriority w:val="99"/>
    <w:semiHidden/>
    <w:unhideWhenUsed/>
    <w:rsid w:val="00D95602"/>
    <w:rPr>
      <w:vertAlign w:val="superscript"/>
    </w:rPr>
  </w:style>
  <w:style w:type="character" w:customStyle="1" w:styleId="Heading4Char">
    <w:name w:val="Heading 4 Char"/>
    <w:basedOn w:val="DefaultParagraphFont"/>
    <w:link w:val="Heading4"/>
    <w:rsid w:val="006A422D"/>
    <w:rPr>
      <w:rFonts w:ascii="Times New Roman" w:eastAsia="MS Mincho" w:hAnsi="Times New Roman" w:cs="Times New Roman"/>
      <w:b/>
      <w:bCs/>
      <w:sz w:val="24"/>
      <w:szCs w:val="24"/>
      <w:lang w:eastAsia="ja-JP"/>
    </w:rPr>
  </w:style>
  <w:style w:type="paragraph" w:styleId="NormalWeb">
    <w:name w:val="Normal (Web)"/>
    <w:basedOn w:val="Normal"/>
    <w:uiPriority w:val="99"/>
    <w:rsid w:val="006A422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bodytext">
    <w:name w:val="bodytext"/>
    <w:basedOn w:val="Normal"/>
    <w:rsid w:val="006A42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CommentReference">
    <w:name w:val="annotation reference"/>
    <w:basedOn w:val="DefaultParagraphFont"/>
    <w:unhideWhenUsed/>
    <w:rsid w:val="001B1B7F"/>
    <w:rPr>
      <w:sz w:val="18"/>
      <w:szCs w:val="18"/>
    </w:rPr>
  </w:style>
  <w:style w:type="paragraph" w:styleId="CommentText">
    <w:name w:val="annotation text"/>
    <w:basedOn w:val="Normal"/>
    <w:link w:val="CommentTextChar"/>
    <w:unhideWhenUsed/>
    <w:rsid w:val="001B1B7F"/>
    <w:pPr>
      <w:spacing w:line="240" w:lineRule="auto"/>
    </w:pPr>
    <w:rPr>
      <w:sz w:val="24"/>
      <w:szCs w:val="24"/>
    </w:rPr>
  </w:style>
  <w:style w:type="character" w:customStyle="1" w:styleId="CommentTextChar">
    <w:name w:val="Comment Text Char"/>
    <w:basedOn w:val="DefaultParagraphFont"/>
    <w:link w:val="CommentText"/>
    <w:rsid w:val="001B1B7F"/>
    <w:rPr>
      <w:sz w:val="24"/>
      <w:szCs w:val="24"/>
    </w:rPr>
  </w:style>
  <w:style w:type="paragraph" w:styleId="CommentSubject">
    <w:name w:val="annotation subject"/>
    <w:basedOn w:val="CommentText"/>
    <w:next w:val="CommentText"/>
    <w:link w:val="CommentSubjectChar"/>
    <w:uiPriority w:val="99"/>
    <w:semiHidden/>
    <w:unhideWhenUsed/>
    <w:rsid w:val="001B1B7F"/>
    <w:rPr>
      <w:b/>
      <w:bCs/>
      <w:sz w:val="20"/>
      <w:szCs w:val="20"/>
    </w:rPr>
  </w:style>
  <w:style w:type="character" w:customStyle="1" w:styleId="CommentSubjectChar">
    <w:name w:val="Comment Subject Char"/>
    <w:basedOn w:val="CommentTextChar"/>
    <w:link w:val="CommentSubject"/>
    <w:uiPriority w:val="99"/>
    <w:semiHidden/>
    <w:rsid w:val="001B1B7F"/>
    <w:rPr>
      <w:b/>
      <w:bCs/>
      <w:sz w:val="20"/>
      <w:szCs w:val="20"/>
    </w:rPr>
  </w:style>
  <w:style w:type="paragraph" w:styleId="BalloonText">
    <w:name w:val="Balloon Text"/>
    <w:basedOn w:val="Normal"/>
    <w:link w:val="BalloonTextChar"/>
    <w:uiPriority w:val="99"/>
    <w:semiHidden/>
    <w:unhideWhenUsed/>
    <w:rsid w:val="001B1B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1B7F"/>
    <w:rPr>
      <w:rFonts w:ascii="Times New Roman" w:hAnsi="Times New Roman" w:cs="Times New Roman"/>
      <w:sz w:val="18"/>
      <w:szCs w:val="18"/>
    </w:rPr>
  </w:style>
  <w:style w:type="character" w:styleId="EndnoteReference">
    <w:name w:val="endnote reference"/>
    <w:basedOn w:val="DefaultParagraphFont"/>
    <w:uiPriority w:val="99"/>
    <w:semiHidden/>
    <w:unhideWhenUsed/>
    <w:rsid w:val="00A5302C"/>
    <w:rPr>
      <w:vertAlign w:val="superscript"/>
    </w:rPr>
  </w:style>
</w:styles>
</file>

<file path=word/webSettings.xml><?xml version="1.0" encoding="utf-8"?>
<w:webSettings xmlns:r="http://schemas.openxmlformats.org/officeDocument/2006/relationships" xmlns:w="http://schemas.openxmlformats.org/wordprocessingml/2006/main">
  <w:divs>
    <w:div w:id="157233026">
      <w:bodyDiv w:val="1"/>
      <w:marLeft w:val="0"/>
      <w:marRight w:val="0"/>
      <w:marTop w:val="0"/>
      <w:marBottom w:val="0"/>
      <w:divBdr>
        <w:top w:val="none" w:sz="0" w:space="0" w:color="auto"/>
        <w:left w:val="none" w:sz="0" w:space="0" w:color="auto"/>
        <w:bottom w:val="none" w:sz="0" w:space="0" w:color="auto"/>
        <w:right w:val="none" w:sz="0" w:space="0" w:color="auto"/>
      </w:divBdr>
    </w:div>
    <w:div w:id="764111749">
      <w:bodyDiv w:val="1"/>
      <w:marLeft w:val="0"/>
      <w:marRight w:val="0"/>
      <w:marTop w:val="0"/>
      <w:marBottom w:val="0"/>
      <w:divBdr>
        <w:top w:val="none" w:sz="0" w:space="0" w:color="auto"/>
        <w:left w:val="none" w:sz="0" w:space="0" w:color="auto"/>
        <w:bottom w:val="none" w:sz="0" w:space="0" w:color="auto"/>
        <w:right w:val="none" w:sz="0" w:space="0" w:color="auto"/>
      </w:divBdr>
    </w:div>
    <w:div w:id="830951626">
      <w:bodyDiv w:val="1"/>
      <w:marLeft w:val="0"/>
      <w:marRight w:val="0"/>
      <w:marTop w:val="0"/>
      <w:marBottom w:val="0"/>
      <w:divBdr>
        <w:top w:val="none" w:sz="0" w:space="0" w:color="auto"/>
        <w:left w:val="none" w:sz="0" w:space="0" w:color="auto"/>
        <w:bottom w:val="none" w:sz="0" w:space="0" w:color="auto"/>
        <w:right w:val="none" w:sz="0" w:space="0" w:color="auto"/>
      </w:divBdr>
    </w:div>
    <w:div w:id="15085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3DB4D-F005-4ABA-915C-66A3E556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3210</Words>
  <Characters>17336</Characters>
  <Application>Microsoft Office Word</Application>
  <DocSecurity>0</DocSecurity>
  <Lines>144</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ELLINIKO PARATIRITIRIO ER.&amp;TEXN. EIDIKOTITON</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christoula.m</dc:creator>
  <cp:lastModifiedBy>christoula.m</cp:lastModifiedBy>
  <cp:revision>2</cp:revision>
  <cp:lastPrinted>2016-06-17T06:32:00Z</cp:lastPrinted>
  <dcterms:created xsi:type="dcterms:W3CDTF">2016-06-17T12:27:00Z</dcterms:created>
  <dcterms:modified xsi:type="dcterms:W3CDTF">2016-06-17T12:27:00Z</dcterms:modified>
</cp:coreProperties>
</file>